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AE0EF" w14:textId="3BA7177C" w:rsidR="002A1E71" w:rsidRPr="00196059" w:rsidRDefault="00CA6CC1" w:rsidP="002D4537">
      <w:pPr>
        <w:spacing w:line="276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196059">
        <w:rPr>
          <w:rFonts w:ascii="Times New Roman" w:hAnsi="Times New Roman" w:cs="Times New Roman"/>
          <w:noProof/>
          <w:sz w:val="24"/>
          <w:szCs w:val="24"/>
          <w:lang w:val="pt-PT"/>
        </w:rPr>
        <w:drawing>
          <wp:inline distT="0" distB="0" distL="0" distR="0" wp14:anchorId="143CC445" wp14:editId="681C6BFC">
            <wp:extent cx="1200150" cy="757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685" cy="761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B341F" w14:textId="59BCDE2B" w:rsidR="00CA6CC1" w:rsidRPr="00290D24" w:rsidRDefault="00CA6CC1" w:rsidP="002D4537">
      <w:pPr>
        <w:pStyle w:val="TextosemFormatao"/>
        <w:spacing w:line="276" w:lineRule="auto"/>
        <w:jc w:val="center"/>
        <w:rPr>
          <w:rFonts w:ascii="Times New Roman" w:hAnsi="Times New Roman"/>
          <w:b/>
          <w:color w:val="0070C0"/>
          <w:sz w:val="24"/>
          <w:szCs w:val="24"/>
          <w:lang w:val="pt-PT"/>
        </w:rPr>
      </w:pPr>
      <w:r w:rsidRPr="00290D24">
        <w:rPr>
          <w:rFonts w:ascii="Times New Roman" w:hAnsi="Times New Roman"/>
          <w:b/>
          <w:color w:val="0070C0"/>
          <w:sz w:val="24"/>
          <w:szCs w:val="24"/>
          <w:lang w:val="pt-PT"/>
        </w:rPr>
        <w:t xml:space="preserve">ICAP </w:t>
      </w:r>
      <w:r w:rsidR="00640619" w:rsidRPr="00290D24">
        <w:rPr>
          <w:rFonts w:ascii="Times New Roman" w:hAnsi="Times New Roman"/>
          <w:b/>
          <w:color w:val="0070C0"/>
          <w:sz w:val="24"/>
          <w:szCs w:val="24"/>
          <w:lang w:val="pt-PT"/>
        </w:rPr>
        <w:t>at University of Columbia</w:t>
      </w:r>
    </w:p>
    <w:p w14:paraId="1EAB44D5" w14:textId="77777777" w:rsidR="00CA6CC1" w:rsidRPr="00196059" w:rsidRDefault="00CA6CC1" w:rsidP="002D4537">
      <w:pPr>
        <w:pStyle w:val="TextosemFormatao"/>
        <w:spacing w:line="276" w:lineRule="auto"/>
        <w:jc w:val="center"/>
        <w:rPr>
          <w:rFonts w:ascii="Times New Roman" w:hAnsi="Times New Roman"/>
          <w:b/>
          <w:sz w:val="24"/>
          <w:szCs w:val="24"/>
          <w:lang w:val="pt-PT"/>
        </w:rPr>
      </w:pPr>
      <w:r w:rsidRPr="00196059">
        <w:rPr>
          <w:rFonts w:ascii="Times New Roman" w:hAnsi="Times New Roman"/>
          <w:b/>
          <w:sz w:val="24"/>
          <w:szCs w:val="24"/>
          <w:lang w:val="pt-PT"/>
        </w:rPr>
        <w:t>RESUMO DAS FUNÇÕES DO TRABALHO</w:t>
      </w:r>
    </w:p>
    <w:p w14:paraId="5DD67275" w14:textId="77777777" w:rsidR="00CA6CC1" w:rsidRPr="00196059" w:rsidRDefault="00CA6CC1" w:rsidP="002D4537">
      <w:pPr>
        <w:pStyle w:val="TextosemFormatao"/>
        <w:tabs>
          <w:tab w:val="left" w:pos="2610"/>
        </w:tabs>
        <w:spacing w:line="276" w:lineRule="auto"/>
        <w:rPr>
          <w:rFonts w:ascii="Times New Roman" w:hAnsi="Times New Roman"/>
          <w:sz w:val="24"/>
          <w:szCs w:val="24"/>
          <w:lang w:val="pt-P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1"/>
        <w:gridCol w:w="6969"/>
      </w:tblGrid>
      <w:tr w:rsidR="00CA6CC1" w:rsidRPr="00290D24" w14:paraId="531835DF" w14:textId="77777777" w:rsidTr="008323CF">
        <w:tc>
          <w:tcPr>
            <w:tcW w:w="2448" w:type="dxa"/>
          </w:tcPr>
          <w:p w14:paraId="06F1E932" w14:textId="1D578EF7" w:rsidR="00CA6CC1" w:rsidRPr="00196059" w:rsidRDefault="00196059" w:rsidP="002D4537">
            <w:pPr>
              <w:pStyle w:val="TextosemFormatao"/>
              <w:tabs>
                <w:tab w:val="left" w:pos="2610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196059">
              <w:rPr>
                <w:rFonts w:ascii="Times New Roman" w:hAnsi="Times New Roman"/>
                <w:b/>
                <w:sz w:val="24"/>
                <w:szCs w:val="24"/>
                <w:lang w:val="pt-PT"/>
              </w:rPr>
              <w:t>Título</w:t>
            </w:r>
            <w:r w:rsidR="00CA6CC1" w:rsidRPr="00196059">
              <w:rPr>
                <w:rFonts w:ascii="Times New Roman" w:hAnsi="Times New Roman"/>
                <w:b/>
                <w:sz w:val="24"/>
                <w:szCs w:val="24"/>
                <w:lang w:val="pt-PT"/>
              </w:rPr>
              <w:t>:</w:t>
            </w:r>
          </w:p>
        </w:tc>
        <w:tc>
          <w:tcPr>
            <w:tcW w:w="7358" w:type="dxa"/>
          </w:tcPr>
          <w:p w14:paraId="098BCBDB" w14:textId="03DBEEC8" w:rsidR="00CA6CC1" w:rsidRPr="00196059" w:rsidRDefault="00EB4502" w:rsidP="002D4537">
            <w:pPr>
              <w:pStyle w:val="TextosemFormatao"/>
              <w:tabs>
                <w:tab w:val="left" w:pos="2610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196059">
              <w:rPr>
                <w:rFonts w:ascii="Times New Roman" w:hAnsi="Times New Roman"/>
                <w:sz w:val="24"/>
                <w:szCs w:val="24"/>
                <w:lang w:val="pt-PT"/>
              </w:rPr>
              <w:t>Oficial Provincial de Cuidado e Tratamento</w:t>
            </w:r>
            <w:r w:rsidR="00CA6CC1" w:rsidRPr="00196059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 </w:t>
            </w:r>
          </w:p>
        </w:tc>
      </w:tr>
      <w:tr w:rsidR="00CA6CC1" w:rsidRPr="00196059" w14:paraId="7AE16173" w14:textId="77777777" w:rsidTr="008323CF">
        <w:tc>
          <w:tcPr>
            <w:tcW w:w="2448" w:type="dxa"/>
          </w:tcPr>
          <w:p w14:paraId="62D79762" w14:textId="77777777" w:rsidR="00CA6CC1" w:rsidRPr="00196059" w:rsidRDefault="00CA6CC1" w:rsidP="002D4537">
            <w:pPr>
              <w:pStyle w:val="TextosemFormatao"/>
              <w:tabs>
                <w:tab w:val="left" w:pos="2610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196059">
              <w:rPr>
                <w:rFonts w:ascii="Times New Roman" w:hAnsi="Times New Roman"/>
                <w:b/>
                <w:sz w:val="24"/>
                <w:szCs w:val="24"/>
                <w:lang w:val="pt-PT"/>
              </w:rPr>
              <w:t xml:space="preserve">Supervisor: </w:t>
            </w:r>
          </w:p>
        </w:tc>
        <w:tc>
          <w:tcPr>
            <w:tcW w:w="7358" w:type="dxa"/>
          </w:tcPr>
          <w:p w14:paraId="03D76F9C" w14:textId="26B1AF43" w:rsidR="00CA6CC1" w:rsidRPr="00196059" w:rsidRDefault="00B41235" w:rsidP="002D4537">
            <w:pPr>
              <w:pStyle w:val="TextosemFormatao"/>
              <w:tabs>
                <w:tab w:val="left" w:pos="2610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196059">
              <w:rPr>
                <w:rFonts w:ascii="Times New Roman" w:hAnsi="Times New Roman"/>
                <w:sz w:val="24"/>
                <w:szCs w:val="24"/>
                <w:lang w:val="pt-PT"/>
              </w:rPr>
              <w:t>Diretor</w:t>
            </w:r>
            <w:r w:rsidR="00EB4502" w:rsidRPr="00196059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 dos Serviços Clínicos</w:t>
            </w:r>
          </w:p>
        </w:tc>
      </w:tr>
      <w:tr w:rsidR="00CA6CC1" w:rsidRPr="00196059" w14:paraId="26D9DFAD" w14:textId="77777777" w:rsidTr="008323CF">
        <w:tc>
          <w:tcPr>
            <w:tcW w:w="2448" w:type="dxa"/>
          </w:tcPr>
          <w:p w14:paraId="3364784E" w14:textId="77777777" w:rsidR="00CA6CC1" w:rsidRPr="00196059" w:rsidRDefault="00CA6CC1" w:rsidP="002D4537">
            <w:pPr>
              <w:pStyle w:val="TextosemFormatao"/>
              <w:tabs>
                <w:tab w:val="left" w:pos="2610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196059">
              <w:rPr>
                <w:rFonts w:ascii="Times New Roman" w:hAnsi="Times New Roman"/>
                <w:b/>
                <w:sz w:val="24"/>
                <w:szCs w:val="24"/>
                <w:lang w:val="pt-PT"/>
              </w:rPr>
              <w:t>Local de trabalho:</w:t>
            </w:r>
          </w:p>
        </w:tc>
        <w:tc>
          <w:tcPr>
            <w:tcW w:w="7358" w:type="dxa"/>
          </w:tcPr>
          <w:p w14:paraId="3068282C" w14:textId="0BDB6489" w:rsidR="00CA6CC1" w:rsidRPr="00196059" w:rsidRDefault="00EB4502" w:rsidP="002D4537">
            <w:pPr>
              <w:pStyle w:val="TextosemFormatao"/>
              <w:tabs>
                <w:tab w:val="left" w:pos="2610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196059">
              <w:rPr>
                <w:rFonts w:ascii="Times New Roman" w:hAnsi="Times New Roman"/>
                <w:sz w:val="24"/>
                <w:szCs w:val="24"/>
                <w:lang w:val="pt-PT"/>
              </w:rPr>
              <w:t>Província de Benguela</w:t>
            </w:r>
          </w:p>
        </w:tc>
      </w:tr>
      <w:tr w:rsidR="00CA6CC1" w:rsidRPr="00196059" w14:paraId="317B9DF5" w14:textId="77777777" w:rsidTr="008323CF">
        <w:tc>
          <w:tcPr>
            <w:tcW w:w="2448" w:type="dxa"/>
          </w:tcPr>
          <w:p w14:paraId="0F66B276" w14:textId="77777777" w:rsidR="00CA6CC1" w:rsidRPr="00196059" w:rsidRDefault="00CA6CC1" w:rsidP="002D4537">
            <w:pPr>
              <w:pStyle w:val="TextosemFormatao"/>
              <w:tabs>
                <w:tab w:val="left" w:pos="2610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196059">
              <w:rPr>
                <w:rFonts w:ascii="Times New Roman" w:hAnsi="Times New Roman"/>
                <w:b/>
                <w:sz w:val="24"/>
                <w:szCs w:val="24"/>
                <w:lang w:val="pt-PT"/>
              </w:rPr>
              <w:t>Data:</w:t>
            </w:r>
          </w:p>
        </w:tc>
        <w:tc>
          <w:tcPr>
            <w:tcW w:w="7358" w:type="dxa"/>
          </w:tcPr>
          <w:p w14:paraId="71D91EB3" w14:textId="3779A4CC" w:rsidR="00CA6CC1" w:rsidRPr="00196059" w:rsidRDefault="00B41235" w:rsidP="002D4537">
            <w:pPr>
              <w:pStyle w:val="TextosemFormatao"/>
              <w:tabs>
                <w:tab w:val="left" w:pos="2610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01 de novembro de </w:t>
            </w:r>
            <w:r w:rsidR="00CA6CC1" w:rsidRPr="00196059">
              <w:rPr>
                <w:rFonts w:ascii="Times New Roman" w:hAnsi="Times New Roman"/>
                <w:sz w:val="24"/>
                <w:szCs w:val="24"/>
                <w:lang w:val="pt-PT"/>
              </w:rPr>
              <w:t>202</w:t>
            </w:r>
            <w:r w:rsidR="008304D0" w:rsidRPr="00196059">
              <w:rPr>
                <w:rFonts w:ascii="Times New Roman" w:hAnsi="Times New Roman"/>
                <w:sz w:val="24"/>
                <w:szCs w:val="24"/>
                <w:lang w:val="pt-PT"/>
              </w:rPr>
              <w:t>4</w:t>
            </w:r>
          </w:p>
        </w:tc>
      </w:tr>
    </w:tbl>
    <w:p w14:paraId="6E678D41" w14:textId="77777777" w:rsidR="00CA6CC1" w:rsidRPr="00196059" w:rsidRDefault="00CA6CC1" w:rsidP="002D4537">
      <w:pPr>
        <w:pStyle w:val="TextosemFormatao"/>
        <w:tabs>
          <w:tab w:val="left" w:pos="2610"/>
        </w:tabs>
        <w:spacing w:line="276" w:lineRule="auto"/>
        <w:rPr>
          <w:rFonts w:ascii="Times New Roman" w:hAnsi="Times New Roman"/>
          <w:sz w:val="24"/>
          <w:szCs w:val="24"/>
          <w:lang w:val="pt-PT"/>
        </w:rPr>
      </w:pPr>
    </w:p>
    <w:p w14:paraId="77942746" w14:textId="77777777" w:rsidR="00CA6CC1" w:rsidRPr="00196059" w:rsidRDefault="00CA6CC1" w:rsidP="002D4537">
      <w:pPr>
        <w:pStyle w:val="TextosemFormatao"/>
        <w:spacing w:after="240" w:line="276" w:lineRule="auto"/>
        <w:rPr>
          <w:rFonts w:ascii="Times New Roman" w:hAnsi="Times New Roman"/>
          <w:b/>
          <w:sz w:val="24"/>
          <w:szCs w:val="24"/>
          <w:u w:val="single"/>
          <w:lang w:val="pt-PT"/>
        </w:rPr>
      </w:pPr>
      <w:r w:rsidRPr="00196059">
        <w:rPr>
          <w:rFonts w:ascii="Times New Roman" w:hAnsi="Times New Roman"/>
          <w:b/>
          <w:sz w:val="24"/>
          <w:szCs w:val="24"/>
          <w:u w:val="single"/>
          <w:lang w:val="pt-PT"/>
        </w:rPr>
        <w:t>RESUMO DA POSIÇÃO</w:t>
      </w:r>
    </w:p>
    <w:p w14:paraId="09B39348" w14:textId="6D514483" w:rsidR="00CA6CC1" w:rsidRPr="00196059" w:rsidRDefault="00CA6CC1" w:rsidP="002D4537">
      <w:pPr>
        <w:pStyle w:val="TextosemFormatao"/>
        <w:spacing w:line="276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196059">
        <w:rPr>
          <w:rFonts w:ascii="Times New Roman" w:hAnsi="Times New Roman"/>
          <w:sz w:val="24"/>
          <w:szCs w:val="24"/>
          <w:lang w:val="pt-PT"/>
        </w:rPr>
        <w:t xml:space="preserve">O ICAP em Angola está a trabalhar em coordenação com o Ministério de Saúde de Angola </w:t>
      </w:r>
      <w:r w:rsidR="00BF3EC6">
        <w:rPr>
          <w:rFonts w:ascii="Times New Roman" w:hAnsi="Times New Roman"/>
          <w:sz w:val="24"/>
          <w:szCs w:val="24"/>
          <w:lang w:val="pt-PT"/>
        </w:rPr>
        <w:t xml:space="preserve">(MINSA) </w:t>
      </w:r>
      <w:r w:rsidR="004B7AB3">
        <w:rPr>
          <w:rFonts w:ascii="Times New Roman" w:hAnsi="Times New Roman"/>
          <w:sz w:val="24"/>
          <w:szCs w:val="24"/>
          <w:lang w:val="pt-PT"/>
        </w:rPr>
        <w:t xml:space="preserve">prestando </w:t>
      </w:r>
      <w:r w:rsidR="0089367F">
        <w:rPr>
          <w:rFonts w:ascii="Times New Roman" w:hAnsi="Times New Roman"/>
          <w:sz w:val="24"/>
          <w:szCs w:val="24"/>
          <w:lang w:val="pt-PT"/>
        </w:rPr>
        <w:t xml:space="preserve">assistência técnica para </w:t>
      </w:r>
      <w:r w:rsidRPr="00196059">
        <w:rPr>
          <w:rFonts w:ascii="Times New Roman" w:hAnsi="Times New Roman"/>
          <w:sz w:val="24"/>
          <w:szCs w:val="24"/>
          <w:lang w:val="pt-PT"/>
        </w:rPr>
        <w:t xml:space="preserve">a implementação de serviços </w:t>
      </w:r>
      <w:r w:rsidR="0089367F">
        <w:rPr>
          <w:rFonts w:ascii="Times New Roman" w:hAnsi="Times New Roman"/>
          <w:sz w:val="24"/>
          <w:szCs w:val="24"/>
          <w:lang w:val="pt-PT"/>
        </w:rPr>
        <w:t xml:space="preserve">de qualidade e humanizados </w:t>
      </w:r>
      <w:r w:rsidRPr="00196059">
        <w:rPr>
          <w:rFonts w:ascii="Times New Roman" w:hAnsi="Times New Roman"/>
          <w:sz w:val="24"/>
          <w:szCs w:val="24"/>
          <w:lang w:val="pt-PT"/>
        </w:rPr>
        <w:t>focados na</w:t>
      </w:r>
      <w:r w:rsidR="0089367F">
        <w:rPr>
          <w:rFonts w:ascii="Times New Roman" w:hAnsi="Times New Roman"/>
          <w:sz w:val="24"/>
          <w:szCs w:val="24"/>
          <w:lang w:val="pt-PT"/>
        </w:rPr>
        <w:t>s</w:t>
      </w:r>
      <w:r w:rsidRPr="00196059">
        <w:rPr>
          <w:rFonts w:ascii="Times New Roman" w:hAnsi="Times New Roman"/>
          <w:sz w:val="24"/>
          <w:szCs w:val="24"/>
          <w:lang w:val="pt-PT"/>
        </w:rPr>
        <w:t xml:space="preserve"> família</w:t>
      </w:r>
      <w:r w:rsidR="004D4FD4">
        <w:rPr>
          <w:rFonts w:ascii="Times New Roman" w:hAnsi="Times New Roman"/>
          <w:sz w:val="24"/>
          <w:szCs w:val="24"/>
          <w:lang w:val="pt-PT"/>
        </w:rPr>
        <w:t>s</w:t>
      </w:r>
      <w:r w:rsidRPr="00196059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BF6DCA">
        <w:rPr>
          <w:rFonts w:ascii="Times New Roman" w:hAnsi="Times New Roman"/>
          <w:sz w:val="24"/>
          <w:szCs w:val="24"/>
          <w:lang w:val="pt-PT"/>
        </w:rPr>
        <w:t>abrangendo os serviços de VIH</w:t>
      </w:r>
      <w:r w:rsidR="00A53DA2">
        <w:rPr>
          <w:rFonts w:ascii="Times New Roman" w:hAnsi="Times New Roman"/>
          <w:sz w:val="24"/>
          <w:szCs w:val="24"/>
          <w:lang w:val="pt-PT"/>
        </w:rPr>
        <w:t xml:space="preserve">, </w:t>
      </w:r>
      <w:r w:rsidR="00BF6DCA">
        <w:rPr>
          <w:rFonts w:ascii="Times New Roman" w:hAnsi="Times New Roman"/>
          <w:sz w:val="24"/>
          <w:szCs w:val="24"/>
          <w:lang w:val="pt-PT"/>
        </w:rPr>
        <w:t xml:space="preserve">bem como </w:t>
      </w:r>
      <w:r w:rsidR="00183967">
        <w:rPr>
          <w:rFonts w:ascii="Times New Roman" w:hAnsi="Times New Roman"/>
          <w:sz w:val="24"/>
          <w:szCs w:val="24"/>
          <w:lang w:val="pt-PT"/>
        </w:rPr>
        <w:t xml:space="preserve">serviços integrados de VIH com </w:t>
      </w:r>
      <w:r w:rsidR="00322A62">
        <w:rPr>
          <w:rFonts w:ascii="Times New Roman" w:hAnsi="Times New Roman"/>
          <w:sz w:val="24"/>
          <w:szCs w:val="24"/>
          <w:lang w:val="pt-PT"/>
        </w:rPr>
        <w:t xml:space="preserve">a </w:t>
      </w:r>
      <w:r w:rsidR="00A53DA2">
        <w:rPr>
          <w:rFonts w:ascii="Times New Roman" w:hAnsi="Times New Roman"/>
          <w:sz w:val="24"/>
          <w:szCs w:val="24"/>
          <w:lang w:val="pt-PT"/>
        </w:rPr>
        <w:t>Saúde Materno Infantil</w:t>
      </w:r>
      <w:r w:rsidRPr="00196059">
        <w:rPr>
          <w:rFonts w:ascii="Times New Roman" w:hAnsi="Times New Roman"/>
          <w:sz w:val="24"/>
          <w:szCs w:val="24"/>
          <w:lang w:val="pt-PT"/>
        </w:rPr>
        <w:t xml:space="preserve"> e </w:t>
      </w:r>
      <w:r w:rsidR="00183967">
        <w:rPr>
          <w:rFonts w:ascii="Times New Roman" w:hAnsi="Times New Roman"/>
          <w:sz w:val="24"/>
          <w:szCs w:val="24"/>
          <w:lang w:val="pt-PT"/>
        </w:rPr>
        <w:t>a T</w:t>
      </w:r>
      <w:r w:rsidR="00322A62">
        <w:rPr>
          <w:rFonts w:ascii="Times New Roman" w:hAnsi="Times New Roman"/>
          <w:sz w:val="24"/>
          <w:szCs w:val="24"/>
          <w:lang w:val="pt-PT"/>
        </w:rPr>
        <w:t>uberculose</w:t>
      </w:r>
      <w:r w:rsidRPr="00196059">
        <w:rPr>
          <w:rFonts w:ascii="Times New Roman" w:hAnsi="Times New Roman"/>
          <w:sz w:val="24"/>
          <w:szCs w:val="24"/>
          <w:lang w:val="pt-PT"/>
        </w:rPr>
        <w:t xml:space="preserve">. </w:t>
      </w:r>
    </w:p>
    <w:p w14:paraId="4D2DDCC3" w14:textId="516B353D" w:rsidR="001C57BA" w:rsidRPr="00196059" w:rsidRDefault="001C57BA" w:rsidP="002D4537">
      <w:pPr>
        <w:pStyle w:val="Corpodetexto"/>
        <w:spacing w:before="120" w:after="120" w:line="276" w:lineRule="auto"/>
        <w:jc w:val="both"/>
        <w:rPr>
          <w:sz w:val="24"/>
          <w:szCs w:val="24"/>
        </w:rPr>
      </w:pPr>
      <w:r w:rsidRPr="00196059">
        <w:rPr>
          <w:sz w:val="24"/>
          <w:szCs w:val="24"/>
        </w:rPr>
        <w:t>As responsabilidades do</w:t>
      </w:r>
      <w:r w:rsidR="00BF3EC6">
        <w:rPr>
          <w:sz w:val="24"/>
          <w:szCs w:val="24"/>
        </w:rPr>
        <w:t xml:space="preserve"> (a)</w:t>
      </w:r>
      <w:r w:rsidRPr="00196059">
        <w:rPr>
          <w:sz w:val="24"/>
          <w:szCs w:val="24"/>
        </w:rPr>
        <w:t xml:space="preserve"> Oficial Provincial de Cuidado e Tratamento</w:t>
      </w:r>
      <w:r w:rsidR="00EF1245" w:rsidRPr="00196059">
        <w:rPr>
          <w:sz w:val="24"/>
          <w:szCs w:val="24"/>
        </w:rPr>
        <w:t xml:space="preserve"> em Angola </w:t>
      </w:r>
      <w:r w:rsidRPr="00196059">
        <w:rPr>
          <w:sz w:val="24"/>
          <w:szCs w:val="24"/>
        </w:rPr>
        <w:t xml:space="preserve">incluem, mas não se limita a coordenar todas as </w:t>
      </w:r>
      <w:r w:rsidR="00395AF2" w:rsidRPr="00196059">
        <w:rPr>
          <w:sz w:val="24"/>
          <w:szCs w:val="24"/>
        </w:rPr>
        <w:t>atividades</w:t>
      </w:r>
      <w:r w:rsidRPr="00196059">
        <w:rPr>
          <w:sz w:val="24"/>
          <w:szCs w:val="24"/>
        </w:rPr>
        <w:t xml:space="preserve"> da Direção dos Serviços Clínicos realizadas pelas A</w:t>
      </w:r>
      <w:r w:rsidR="00EF1245" w:rsidRPr="00196059">
        <w:rPr>
          <w:sz w:val="24"/>
          <w:szCs w:val="24"/>
        </w:rPr>
        <w:t xml:space="preserve">ssistente de </w:t>
      </w:r>
      <w:r w:rsidRPr="00196059">
        <w:rPr>
          <w:sz w:val="24"/>
          <w:szCs w:val="24"/>
        </w:rPr>
        <w:t>C</w:t>
      </w:r>
      <w:r w:rsidR="00EF1245" w:rsidRPr="00196059">
        <w:rPr>
          <w:sz w:val="24"/>
          <w:szCs w:val="24"/>
        </w:rPr>
        <w:t xml:space="preserve">uidado e </w:t>
      </w:r>
      <w:r w:rsidRPr="00196059">
        <w:rPr>
          <w:sz w:val="24"/>
          <w:szCs w:val="24"/>
        </w:rPr>
        <w:t>T</w:t>
      </w:r>
      <w:r w:rsidR="00EF1245" w:rsidRPr="00196059">
        <w:rPr>
          <w:sz w:val="24"/>
          <w:szCs w:val="24"/>
        </w:rPr>
        <w:t>ratamento</w:t>
      </w:r>
      <w:r w:rsidRPr="00196059">
        <w:rPr>
          <w:sz w:val="24"/>
          <w:szCs w:val="24"/>
        </w:rPr>
        <w:t xml:space="preserve"> e Ed</w:t>
      </w:r>
      <w:r w:rsidR="00EF1245" w:rsidRPr="00196059">
        <w:rPr>
          <w:sz w:val="24"/>
          <w:szCs w:val="24"/>
        </w:rPr>
        <w:t xml:space="preserve">ucadores de </w:t>
      </w:r>
      <w:r w:rsidRPr="00196059">
        <w:rPr>
          <w:sz w:val="24"/>
          <w:szCs w:val="24"/>
        </w:rPr>
        <w:t>P</w:t>
      </w:r>
      <w:r w:rsidR="00EF1245" w:rsidRPr="00196059">
        <w:rPr>
          <w:sz w:val="24"/>
          <w:szCs w:val="24"/>
        </w:rPr>
        <w:t>ares</w:t>
      </w:r>
      <w:r w:rsidRPr="00196059">
        <w:rPr>
          <w:sz w:val="24"/>
          <w:szCs w:val="24"/>
        </w:rPr>
        <w:t xml:space="preserve">; prover mentoria às </w:t>
      </w:r>
      <w:r w:rsidR="00EF1245" w:rsidRPr="00196059">
        <w:rPr>
          <w:sz w:val="24"/>
          <w:szCs w:val="24"/>
        </w:rPr>
        <w:t>Assistente de Cuidado e Tratamento e Educadores de Pares e</w:t>
      </w:r>
      <w:r w:rsidRPr="00196059">
        <w:rPr>
          <w:sz w:val="24"/>
          <w:szCs w:val="24"/>
        </w:rPr>
        <w:t xml:space="preserve"> aos provedores do M</w:t>
      </w:r>
      <w:r w:rsidR="00BF3EC6">
        <w:rPr>
          <w:sz w:val="24"/>
          <w:szCs w:val="24"/>
        </w:rPr>
        <w:t>INSA</w:t>
      </w:r>
      <w:r w:rsidR="00EF1245" w:rsidRPr="00196059">
        <w:rPr>
          <w:sz w:val="24"/>
          <w:szCs w:val="24"/>
        </w:rPr>
        <w:t xml:space="preserve">. </w:t>
      </w:r>
      <w:r w:rsidR="00BC28C8" w:rsidRPr="00196059">
        <w:rPr>
          <w:sz w:val="24"/>
          <w:szCs w:val="24"/>
        </w:rPr>
        <w:t xml:space="preserve">O/A Oficial Provincial de Cuidado e Tratamento </w:t>
      </w:r>
      <w:r w:rsidRPr="00196059">
        <w:rPr>
          <w:sz w:val="24"/>
          <w:szCs w:val="24"/>
        </w:rPr>
        <w:t xml:space="preserve">supervisiona as atividades realizadas pela </w:t>
      </w:r>
      <w:r w:rsidR="00395AF2" w:rsidRPr="00196059">
        <w:rPr>
          <w:sz w:val="24"/>
          <w:szCs w:val="24"/>
        </w:rPr>
        <w:t>Direção</w:t>
      </w:r>
      <w:r w:rsidR="00B968D0" w:rsidRPr="00196059">
        <w:rPr>
          <w:sz w:val="24"/>
          <w:szCs w:val="24"/>
        </w:rPr>
        <w:t xml:space="preserve"> dos </w:t>
      </w:r>
      <w:r w:rsidRPr="00196059">
        <w:rPr>
          <w:sz w:val="24"/>
          <w:szCs w:val="24"/>
        </w:rPr>
        <w:t>S</w:t>
      </w:r>
      <w:r w:rsidR="00B968D0" w:rsidRPr="00196059">
        <w:rPr>
          <w:sz w:val="24"/>
          <w:szCs w:val="24"/>
        </w:rPr>
        <w:t xml:space="preserve">erviços </w:t>
      </w:r>
      <w:r w:rsidRPr="00196059">
        <w:rPr>
          <w:sz w:val="24"/>
          <w:szCs w:val="24"/>
        </w:rPr>
        <w:t>C</w:t>
      </w:r>
      <w:r w:rsidR="00B968D0" w:rsidRPr="00196059">
        <w:rPr>
          <w:sz w:val="24"/>
          <w:szCs w:val="24"/>
        </w:rPr>
        <w:t>línicos</w:t>
      </w:r>
      <w:r w:rsidR="00395AF2">
        <w:rPr>
          <w:sz w:val="24"/>
          <w:szCs w:val="24"/>
        </w:rPr>
        <w:t xml:space="preserve"> (DSCL)</w:t>
      </w:r>
      <w:r w:rsidRPr="00196059">
        <w:rPr>
          <w:sz w:val="24"/>
          <w:szCs w:val="24"/>
        </w:rPr>
        <w:t xml:space="preserve">, assegurando de que todas as </w:t>
      </w:r>
      <w:r w:rsidR="00395AF2" w:rsidRPr="00196059">
        <w:rPr>
          <w:sz w:val="24"/>
          <w:szCs w:val="24"/>
        </w:rPr>
        <w:t>atividades</w:t>
      </w:r>
      <w:r w:rsidRPr="00196059">
        <w:rPr>
          <w:sz w:val="24"/>
          <w:szCs w:val="24"/>
        </w:rPr>
        <w:t xml:space="preserve"> são realizadas em conformidade com as </w:t>
      </w:r>
      <w:r w:rsidR="00395AF2" w:rsidRPr="00196059">
        <w:rPr>
          <w:sz w:val="24"/>
          <w:szCs w:val="24"/>
        </w:rPr>
        <w:t>diretrizes</w:t>
      </w:r>
      <w:r w:rsidRPr="00196059">
        <w:rPr>
          <w:sz w:val="24"/>
          <w:szCs w:val="24"/>
        </w:rPr>
        <w:t xml:space="preserve"> da </w:t>
      </w:r>
      <w:r w:rsidR="001270DC" w:rsidRPr="00196059">
        <w:rPr>
          <w:sz w:val="24"/>
          <w:szCs w:val="24"/>
        </w:rPr>
        <w:t>DSC</w:t>
      </w:r>
      <w:r w:rsidR="00395AF2">
        <w:rPr>
          <w:sz w:val="24"/>
          <w:szCs w:val="24"/>
        </w:rPr>
        <w:t>L</w:t>
      </w:r>
      <w:r w:rsidRPr="00196059">
        <w:rPr>
          <w:sz w:val="24"/>
          <w:szCs w:val="24"/>
        </w:rPr>
        <w:t xml:space="preserve">, bem como as </w:t>
      </w:r>
      <w:r w:rsidR="00395AF2" w:rsidRPr="00196059">
        <w:rPr>
          <w:sz w:val="24"/>
          <w:szCs w:val="24"/>
        </w:rPr>
        <w:t>diretrizes</w:t>
      </w:r>
      <w:r w:rsidRPr="00196059">
        <w:rPr>
          <w:sz w:val="24"/>
          <w:szCs w:val="24"/>
        </w:rPr>
        <w:t xml:space="preserve"> éticas do ICAP.</w:t>
      </w:r>
    </w:p>
    <w:p w14:paraId="152DEC89" w14:textId="77777777" w:rsidR="00EF7B6E" w:rsidRPr="00196059" w:rsidRDefault="00EF7B6E" w:rsidP="002D4537">
      <w:pPr>
        <w:pStyle w:val="Corpodetexto"/>
        <w:spacing w:before="120" w:after="120" w:line="276" w:lineRule="auto"/>
        <w:jc w:val="both"/>
        <w:rPr>
          <w:sz w:val="24"/>
          <w:szCs w:val="24"/>
        </w:rPr>
      </w:pPr>
    </w:p>
    <w:p w14:paraId="697534F6" w14:textId="796B7498" w:rsidR="00CA6CC1" w:rsidRPr="00196059" w:rsidRDefault="00CA6CC1" w:rsidP="002D4537">
      <w:pPr>
        <w:pStyle w:val="TextosemFormatao"/>
        <w:spacing w:after="240" w:line="276" w:lineRule="auto"/>
        <w:rPr>
          <w:rFonts w:ascii="Times New Roman" w:hAnsi="Times New Roman"/>
          <w:b/>
          <w:sz w:val="24"/>
          <w:szCs w:val="24"/>
          <w:u w:val="single"/>
          <w:lang w:val="pt-PT"/>
        </w:rPr>
      </w:pPr>
      <w:r w:rsidRPr="00196059">
        <w:rPr>
          <w:rFonts w:ascii="Times New Roman" w:hAnsi="Times New Roman"/>
          <w:b/>
          <w:sz w:val="24"/>
          <w:szCs w:val="24"/>
          <w:u w:val="single"/>
          <w:lang w:val="pt-PT"/>
        </w:rPr>
        <w:t>RESPONSABILIDADES PRINCIPAIS:</w:t>
      </w:r>
    </w:p>
    <w:p w14:paraId="2B20FC12" w14:textId="77777777" w:rsidR="00AC2085" w:rsidRPr="00196059" w:rsidRDefault="00AC2085" w:rsidP="002D4537">
      <w:pPr>
        <w:pStyle w:val="Corpodetexto"/>
        <w:numPr>
          <w:ilvl w:val="0"/>
          <w:numId w:val="14"/>
        </w:numPr>
        <w:spacing w:before="120" w:after="120" w:line="276" w:lineRule="auto"/>
        <w:jc w:val="both"/>
        <w:rPr>
          <w:sz w:val="24"/>
          <w:szCs w:val="24"/>
        </w:rPr>
      </w:pPr>
      <w:r w:rsidRPr="00196059">
        <w:rPr>
          <w:sz w:val="24"/>
          <w:szCs w:val="24"/>
        </w:rPr>
        <w:t>A OPCT assegura um ambiente saudável de trabalho na RAT, servindo de modelo para as boas práticas éticas e deontológicas de relacionamento interpessoal, a fim de prevenir comportamentos desviantes e inaceitáveis.</w:t>
      </w:r>
    </w:p>
    <w:p w14:paraId="2B72FD41" w14:textId="77777777" w:rsidR="00AC2085" w:rsidRPr="00196059" w:rsidRDefault="00AC2085" w:rsidP="002D4537">
      <w:pPr>
        <w:pStyle w:val="Corpodetexto"/>
        <w:numPr>
          <w:ilvl w:val="0"/>
          <w:numId w:val="14"/>
        </w:numPr>
        <w:spacing w:before="120" w:after="120" w:line="276" w:lineRule="auto"/>
        <w:jc w:val="both"/>
        <w:rPr>
          <w:sz w:val="24"/>
          <w:szCs w:val="24"/>
        </w:rPr>
      </w:pPr>
      <w:r w:rsidRPr="00196059">
        <w:rPr>
          <w:sz w:val="24"/>
          <w:szCs w:val="24"/>
        </w:rPr>
        <w:t>A OPCT também colabora com os Parceiros de Implementação do PEPFAR para assegurar a viabilidade dos serviços laboratoriais e serviços da cadeia de abastecimento para prover os recursos necessários para o atendimento dos pacientes.</w:t>
      </w:r>
    </w:p>
    <w:p w14:paraId="756A81B9" w14:textId="77777777" w:rsidR="00AC2085" w:rsidRPr="00196059" w:rsidRDefault="00AC2085" w:rsidP="002D4537">
      <w:pPr>
        <w:pStyle w:val="Corpodetexto"/>
        <w:numPr>
          <w:ilvl w:val="0"/>
          <w:numId w:val="14"/>
        </w:numPr>
        <w:spacing w:before="120" w:after="120" w:line="276" w:lineRule="auto"/>
        <w:jc w:val="both"/>
        <w:rPr>
          <w:sz w:val="24"/>
          <w:szCs w:val="24"/>
        </w:rPr>
      </w:pPr>
      <w:r w:rsidRPr="00196059">
        <w:rPr>
          <w:sz w:val="24"/>
          <w:szCs w:val="24"/>
        </w:rPr>
        <w:t>A OPCT submete os relatórios de atividades da DSC na RAT, avaliando a qualidade das informações, incluindo o asseguramento da prontidão da submissão dos mesmos.</w:t>
      </w:r>
    </w:p>
    <w:p w14:paraId="11FF919E" w14:textId="77777777" w:rsidR="00AC2085" w:rsidRPr="00196059" w:rsidRDefault="00AC2085" w:rsidP="002D4537">
      <w:pPr>
        <w:pStyle w:val="Corpodetexto"/>
        <w:numPr>
          <w:ilvl w:val="0"/>
          <w:numId w:val="14"/>
        </w:numPr>
        <w:spacing w:before="120" w:after="120" w:line="276" w:lineRule="auto"/>
        <w:jc w:val="both"/>
        <w:rPr>
          <w:sz w:val="24"/>
          <w:szCs w:val="24"/>
        </w:rPr>
      </w:pPr>
      <w:r w:rsidRPr="00196059">
        <w:rPr>
          <w:sz w:val="24"/>
          <w:szCs w:val="24"/>
        </w:rPr>
        <w:t>A OPCT submete o cadastro dos provedores do MINSA, cadastro dos serviços disponíveis nas unidades sanitárias apoiadas; cadastro dos participantes para as formações e reuniões afins no âmbito da assistência técnica do PEPFAR.</w:t>
      </w:r>
    </w:p>
    <w:p w14:paraId="1482142C" w14:textId="77777777" w:rsidR="00AC2085" w:rsidRPr="00196059" w:rsidRDefault="00AC2085" w:rsidP="002D4537">
      <w:pPr>
        <w:pStyle w:val="Corpodetexto"/>
        <w:numPr>
          <w:ilvl w:val="0"/>
          <w:numId w:val="14"/>
        </w:numPr>
        <w:spacing w:before="120" w:after="120" w:line="276" w:lineRule="auto"/>
        <w:jc w:val="both"/>
        <w:rPr>
          <w:sz w:val="24"/>
          <w:szCs w:val="24"/>
        </w:rPr>
      </w:pPr>
      <w:r w:rsidRPr="00196059">
        <w:rPr>
          <w:sz w:val="24"/>
          <w:szCs w:val="24"/>
        </w:rPr>
        <w:t xml:space="preserve">A OPCT analisa o Sumário da Informação Abrangente dos Serviços (Sumário IAS), </w:t>
      </w:r>
      <w:r w:rsidRPr="00196059">
        <w:rPr>
          <w:sz w:val="24"/>
          <w:szCs w:val="24"/>
        </w:rPr>
        <w:lastRenderedPageBreak/>
        <w:t>Sumário Programático Trimestral para se informar do desempenho programático dos serviços clínicos, fornecendo argumentação coerente para justificar as inconformidades, bem como os fatores associados aos resultados favoráveis.</w:t>
      </w:r>
    </w:p>
    <w:p w14:paraId="5D4C912F" w14:textId="77777777" w:rsidR="00AC2085" w:rsidRPr="00196059" w:rsidRDefault="00AC2085" w:rsidP="002D4537">
      <w:pPr>
        <w:pStyle w:val="Corpodetexto"/>
        <w:numPr>
          <w:ilvl w:val="0"/>
          <w:numId w:val="14"/>
        </w:numPr>
        <w:spacing w:before="120" w:after="120" w:line="276" w:lineRule="auto"/>
        <w:jc w:val="both"/>
        <w:rPr>
          <w:sz w:val="24"/>
          <w:szCs w:val="24"/>
        </w:rPr>
      </w:pPr>
      <w:r w:rsidRPr="00196059">
        <w:rPr>
          <w:sz w:val="24"/>
          <w:szCs w:val="24"/>
        </w:rPr>
        <w:t>A OPCT deve compreender, interpretar e argumentar os indicadores do PEPFAR, assegurando de que é capaz de justificar as diferenças para os pressupostos de reporte dos mesmos indicadores em comparação com os pressupostos utilizados pelo MINSA.</w:t>
      </w:r>
    </w:p>
    <w:p w14:paraId="5D6A9090" w14:textId="77777777" w:rsidR="00AC2085" w:rsidRPr="00196059" w:rsidRDefault="00AC2085" w:rsidP="002D4537">
      <w:pPr>
        <w:pStyle w:val="Corpodetexto"/>
        <w:numPr>
          <w:ilvl w:val="0"/>
          <w:numId w:val="14"/>
        </w:numPr>
        <w:spacing w:before="120" w:after="120" w:line="276" w:lineRule="auto"/>
        <w:jc w:val="both"/>
        <w:rPr>
          <w:sz w:val="24"/>
          <w:szCs w:val="24"/>
        </w:rPr>
      </w:pPr>
      <w:r w:rsidRPr="00196059">
        <w:rPr>
          <w:sz w:val="24"/>
          <w:szCs w:val="24"/>
        </w:rPr>
        <w:t>A OPCT submete a Informação Emergente através do LISOP, comunicando todas as situações emergentes que ocorrem na RAT a fim de que a DSC em Luanda tome conhecimento e acione as providências necessárias para superar as situações relatadas.</w:t>
      </w:r>
    </w:p>
    <w:p w14:paraId="5C38D202" w14:textId="77777777" w:rsidR="00AC2085" w:rsidRPr="00196059" w:rsidRDefault="00AC2085" w:rsidP="002D4537">
      <w:pPr>
        <w:pStyle w:val="Corpodetexto"/>
        <w:numPr>
          <w:ilvl w:val="0"/>
          <w:numId w:val="14"/>
        </w:numPr>
        <w:spacing w:before="120" w:after="120" w:line="276" w:lineRule="auto"/>
        <w:jc w:val="both"/>
        <w:rPr>
          <w:sz w:val="24"/>
          <w:szCs w:val="24"/>
        </w:rPr>
      </w:pPr>
      <w:r w:rsidRPr="00196059">
        <w:rPr>
          <w:sz w:val="24"/>
          <w:szCs w:val="24"/>
        </w:rPr>
        <w:t>A OPCT submete o controle laboral e mantem atualizado.</w:t>
      </w:r>
    </w:p>
    <w:p w14:paraId="0ADD6D92" w14:textId="77777777" w:rsidR="00AC2085" w:rsidRPr="00196059" w:rsidRDefault="00AC2085" w:rsidP="002D4537">
      <w:pPr>
        <w:pStyle w:val="Corpodetexto"/>
        <w:numPr>
          <w:ilvl w:val="0"/>
          <w:numId w:val="14"/>
        </w:numPr>
        <w:spacing w:before="120" w:after="120" w:line="276" w:lineRule="auto"/>
        <w:jc w:val="both"/>
        <w:rPr>
          <w:sz w:val="24"/>
          <w:szCs w:val="24"/>
        </w:rPr>
      </w:pPr>
      <w:r w:rsidRPr="00196059">
        <w:rPr>
          <w:sz w:val="24"/>
          <w:szCs w:val="24"/>
        </w:rPr>
        <w:t>Facilitar formações, promovendo aos provedores de MINSA, das ACT, das EdP, os conhecimentos necessários para a sua qualificação na realização das atividades correntes.</w:t>
      </w:r>
    </w:p>
    <w:p w14:paraId="6BC14185" w14:textId="77777777" w:rsidR="00AC2085" w:rsidRPr="00196059" w:rsidRDefault="00AC2085" w:rsidP="002D4537">
      <w:pPr>
        <w:pStyle w:val="Corpodetexto"/>
        <w:numPr>
          <w:ilvl w:val="0"/>
          <w:numId w:val="14"/>
        </w:numPr>
        <w:spacing w:before="120" w:after="120" w:line="276" w:lineRule="auto"/>
        <w:jc w:val="both"/>
        <w:rPr>
          <w:sz w:val="24"/>
          <w:szCs w:val="24"/>
        </w:rPr>
      </w:pPr>
      <w:r w:rsidRPr="00196059">
        <w:rPr>
          <w:sz w:val="24"/>
          <w:szCs w:val="24"/>
        </w:rPr>
        <w:t>Assegura o desenvolvimento das habilidades de oratória a fim de que a sua argumentação seja plausível de acordo com a disposição dos dados e / ou ocorrências na RAT, viabilizando a qualidade do seu discurso, a qualidade da sua apresentação oral e gestual no âmbito das suas responsabilidades. As habilidades de oratória, argumentação, contraposição, negociação e persuasão são elementos fundamentais para a credibilidade de todas as informações que são transmitidas a partir da RAT para os financiadores e para todas as partes interessadas no âmbito da assistência técnica.</w:t>
      </w:r>
    </w:p>
    <w:p w14:paraId="6FFB7018" w14:textId="77777777" w:rsidR="00AC2085" w:rsidRPr="00196059" w:rsidRDefault="00AC2085" w:rsidP="002D4537">
      <w:pPr>
        <w:pStyle w:val="Corpodetexto"/>
        <w:numPr>
          <w:ilvl w:val="0"/>
          <w:numId w:val="14"/>
        </w:numPr>
        <w:spacing w:before="120" w:after="120" w:line="276" w:lineRule="auto"/>
        <w:jc w:val="both"/>
        <w:rPr>
          <w:sz w:val="24"/>
          <w:szCs w:val="24"/>
        </w:rPr>
      </w:pPr>
      <w:r w:rsidRPr="00196059">
        <w:rPr>
          <w:sz w:val="24"/>
          <w:szCs w:val="24"/>
        </w:rPr>
        <w:t>Coordenar com os Oficiais da RAT a fim de assegurar a realização das reuniões programáticas incluindo, mas não limitada a Reunião Semanal Colaborativa, Reunião Mensal e Trimestral de Validação de Dados, Reunião Colaborativa trimestral; das reuniões administrativas da instituição.</w:t>
      </w:r>
    </w:p>
    <w:p w14:paraId="1C082E66" w14:textId="77777777" w:rsidR="00AC2085" w:rsidRPr="00196059" w:rsidRDefault="00AC2085" w:rsidP="002D4537">
      <w:pPr>
        <w:pStyle w:val="Corpodetexto"/>
        <w:numPr>
          <w:ilvl w:val="0"/>
          <w:numId w:val="14"/>
        </w:numPr>
        <w:spacing w:before="120" w:after="120" w:line="276" w:lineRule="auto"/>
        <w:jc w:val="both"/>
        <w:rPr>
          <w:sz w:val="24"/>
          <w:szCs w:val="24"/>
        </w:rPr>
      </w:pPr>
      <w:r w:rsidRPr="00196059">
        <w:rPr>
          <w:sz w:val="24"/>
          <w:szCs w:val="24"/>
        </w:rPr>
        <w:t>Participar, facilitar Formação e Oficinas de Trabalho no âmbito das suas atribuições.</w:t>
      </w:r>
    </w:p>
    <w:p w14:paraId="00E8C544" w14:textId="77777777" w:rsidR="00AC2085" w:rsidRPr="00196059" w:rsidRDefault="00AC2085" w:rsidP="002D4537">
      <w:pPr>
        <w:pStyle w:val="Corpodetexto"/>
        <w:numPr>
          <w:ilvl w:val="0"/>
          <w:numId w:val="14"/>
        </w:numPr>
        <w:spacing w:before="120" w:after="120" w:line="276" w:lineRule="auto"/>
        <w:jc w:val="both"/>
        <w:rPr>
          <w:sz w:val="24"/>
          <w:szCs w:val="24"/>
        </w:rPr>
      </w:pPr>
      <w:r w:rsidRPr="00196059">
        <w:rPr>
          <w:sz w:val="24"/>
          <w:szCs w:val="24"/>
        </w:rPr>
        <w:t>Dar parecer favorável para os requerimentos relativos à saúde, à vida, quando apresentados pelas EdP, ACT e Kamba.</w:t>
      </w:r>
    </w:p>
    <w:p w14:paraId="7CE47CBE" w14:textId="77777777" w:rsidR="00AC2085" w:rsidRPr="00196059" w:rsidRDefault="00AC2085" w:rsidP="002D4537">
      <w:pPr>
        <w:pStyle w:val="Corpodetexto"/>
        <w:numPr>
          <w:ilvl w:val="0"/>
          <w:numId w:val="14"/>
        </w:numPr>
        <w:spacing w:before="120" w:after="120" w:line="276" w:lineRule="auto"/>
        <w:jc w:val="both"/>
        <w:rPr>
          <w:sz w:val="24"/>
          <w:szCs w:val="24"/>
        </w:rPr>
      </w:pPr>
      <w:r w:rsidRPr="00196059">
        <w:rPr>
          <w:sz w:val="24"/>
          <w:szCs w:val="24"/>
        </w:rPr>
        <w:t>Realizar Jornadas de Trabalho de Campo (JTC) Colaborativas com Pontos Focais do VIH (Provincial, Municipais) e todas as partes interessadas no âmbito da assistência técnica do PEPFAR.</w:t>
      </w:r>
    </w:p>
    <w:p w14:paraId="64928A52" w14:textId="77777777" w:rsidR="00AC2085" w:rsidRPr="00196059" w:rsidRDefault="00AC2085" w:rsidP="002D4537">
      <w:pPr>
        <w:pStyle w:val="Corpodetexto"/>
        <w:numPr>
          <w:ilvl w:val="0"/>
          <w:numId w:val="14"/>
        </w:numPr>
        <w:spacing w:before="120" w:after="120" w:line="276" w:lineRule="auto"/>
        <w:jc w:val="both"/>
        <w:rPr>
          <w:sz w:val="24"/>
          <w:szCs w:val="24"/>
        </w:rPr>
      </w:pPr>
      <w:r w:rsidRPr="00196059">
        <w:rPr>
          <w:sz w:val="24"/>
          <w:szCs w:val="24"/>
        </w:rPr>
        <w:t>Participar na elaboração e implementar do Pacote de Sistemas Abrangentes para Melhorar a Qualidade dos Serviços de VIH (PSA-MQS) para o GPS, DMS e unidades sanitárias.</w:t>
      </w:r>
    </w:p>
    <w:p w14:paraId="64D1568F" w14:textId="77777777" w:rsidR="00AC2085" w:rsidRPr="00196059" w:rsidRDefault="00AC2085" w:rsidP="002D4537">
      <w:pPr>
        <w:pStyle w:val="Corpodetexto"/>
        <w:numPr>
          <w:ilvl w:val="0"/>
          <w:numId w:val="14"/>
        </w:numPr>
        <w:spacing w:before="120" w:after="120" w:line="276" w:lineRule="auto"/>
        <w:jc w:val="both"/>
        <w:rPr>
          <w:sz w:val="24"/>
          <w:szCs w:val="24"/>
        </w:rPr>
      </w:pPr>
      <w:r w:rsidRPr="00196059">
        <w:rPr>
          <w:sz w:val="24"/>
          <w:szCs w:val="24"/>
        </w:rPr>
        <w:t>Preparar Folhas de Pontos das EdP e Kambas quando aplicável a fim de viabilizar a submissão ao Departamento de Recursos Humanos nos prazos estabelecidos.</w:t>
      </w:r>
    </w:p>
    <w:p w14:paraId="4DF2A5EF" w14:textId="77777777" w:rsidR="00AC2085" w:rsidRPr="00196059" w:rsidRDefault="00AC2085" w:rsidP="002D4537">
      <w:pPr>
        <w:pStyle w:val="Corpodetexto"/>
        <w:numPr>
          <w:ilvl w:val="0"/>
          <w:numId w:val="14"/>
        </w:numPr>
        <w:spacing w:before="120" w:after="120" w:line="276" w:lineRule="auto"/>
        <w:jc w:val="both"/>
        <w:rPr>
          <w:sz w:val="24"/>
          <w:szCs w:val="24"/>
        </w:rPr>
      </w:pPr>
      <w:r w:rsidRPr="00196059">
        <w:rPr>
          <w:sz w:val="24"/>
          <w:szCs w:val="24"/>
        </w:rPr>
        <w:t>Dar parecer às Folhas de Ponto submetidas pelas ACT a fim de viabilizar a submissão ao Departamento de Recursos Humanos nos prazos estabelecidos.</w:t>
      </w:r>
    </w:p>
    <w:p w14:paraId="70D49092" w14:textId="77777777" w:rsidR="00AC2085" w:rsidRPr="00196059" w:rsidRDefault="00AC2085" w:rsidP="002D4537">
      <w:pPr>
        <w:pStyle w:val="Corpodetexto"/>
        <w:numPr>
          <w:ilvl w:val="0"/>
          <w:numId w:val="14"/>
        </w:numPr>
        <w:spacing w:before="120" w:after="120" w:line="276" w:lineRule="auto"/>
        <w:jc w:val="both"/>
        <w:rPr>
          <w:sz w:val="24"/>
          <w:szCs w:val="24"/>
        </w:rPr>
      </w:pPr>
      <w:r w:rsidRPr="00196059">
        <w:rPr>
          <w:sz w:val="24"/>
          <w:szCs w:val="24"/>
        </w:rPr>
        <w:t>Realizar Autoavaliação no âmbito dos procedimentos do Departamento de Recursos Humanos.</w:t>
      </w:r>
    </w:p>
    <w:p w14:paraId="25BB2D92" w14:textId="77777777" w:rsidR="00AC2085" w:rsidRPr="00196059" w:rsidRDefault="00AC2085" w:rsidP="002D4537">
      <w:pPr>
        <w:pStyle w:val="Corpodetexto"/>
        <w:numPr>
          <w:ilvl w:val="0"/>
          <w:numId w:val="14"/>
        </w:numPr>
        <w:spacing w:before="120" w:after="120" w:line="276" w:lineRule="auto"/>
        <w:jc w:val="both"/>
        <w:rPr>
          <w:sz w:val="24"/>
          <w:szCs w:val="24"/>
        </w:rPr>
      </w:pPr>
      <w:r w:rsidRPr="00196059">
        <w:rPr>
          <w:sz w:val="24"/>
          <w:szCs w:val="24"/>
        </w:rPr>
        <w:t xml:space="preserve">Realizar Avaliações de Desempenho Trimestral das EdP, ACT e Kamba, bem como se </w:t>
      </w:r>
      <w:r w:rsidRPr="00196059">
        <w:rPr>
          <w:sz w:val="24"/>
          <w:szCs w:val="24"/>
        </w:rPr>
        <w:lastRenderedPageBreak/>
        <w:t>submeter a Avaliação trimestral e Anual pelo Diretor.</w:t>
      </w:r>
    </w:p>
    <w:p w14:paraId="18D00FAF" w14:textId="77777777" w:rsidR="00AC2085" w:rsidRPr="00196059" w:rsidRDefault="00AC2085" w:rsidP="002D4537">
      <w:pPr>
        <w:pStyle w:val="Corpodetexto"/>
        <w:numPr>
          <w:ilvl w:val="0"/>
          <w:numId w:val="14"/>
        </w:numPr>
        <w:spacing w:before="120" w:after="120" w:line="276" w:lineRule="auto"/>
        <w:jc w:val="both"/>
        <w:rPr>
          <w:sz w:val="24"/>
          <w:szCs w:val="24"/>
        </w:rPr>
      </w:pPr>
      <w:r w:rsidRPr="00196059">
        <w:rPr>
          <w:sz w:val="24"/>
          <w:szCs w:val="24"/>
        </w:rPr>
        <w:t>Realizar a programação de ausências laborais em coordenação com todos Oficiais da RAT. Manter atualizado o calendário de ausências, assegurando que as ausências laborais não prejudicam as operações do ICAP no âmbito das suas responsabilidades com os financiadores. A programação das férias é parte do planeamento estratégico dos recursos humanos para atender com eficácia as demandas de atividades correntes da DSC na RAT.</w:t>
      </w:r>
    </w:p>
    <w:p w14:paraId="00F677A8" w14:textId="77777777" w:rsidR="00AC2085" w:rsidRPr="00196059" w:rsidRDefault="00AC2085" w:rsidP="002D4537">
      <w:pPr>
        <w:pStyle w:val="Corpodetexto"/>
        <w:numPr>
          <w:ilvl w:val="0"/>
          <w:numId w:val="14"/>
        </w:numPr>
        <w:spacing w:before="120" w:after="120" w:line="276" w:lineRule="auto"/>
        <w:jc w:val="both"/>
        <w:rPr>
          <w:sz w:val="24"/>
          <w:szCs w:val="24"/>
        </w:rPr>
      </w:pPr>
      <w:r w:rsidRPr="00196059">
        <w:rPr>
          <w:sz w:val="24"/>
          <w:szCs w:val="24"/>
        </w:rPr>
        <w:t xml:space="preserve">Submeter coletivamente os requerimentos de férias em antecipação para pelo menos o mês seguinte (até dia 20 do mês anterior). </w:t>
      </w:r>
    </w:p>
    <w:p w14:paraId="0A591BA9" w14:textId="77777777" w:rsidR="00AC2085" w:rsidRPr="00196059" w:rsidRDefault="00AC2085" w:rsidP="002D4537">
      <w:pPr>
        <w:pStyle w:val="Corpodetexto"/>
        <w:numPr>
          <w:ilvl w:val="0"/>
          <w:numId w:val="14"/>
        </w:numPr>
        <w:spacing w:before="120" w:after="120" w:line="276" w:lineRule="auto"/>
        <w:jc w:val="both"/>
        <w:rPr>
          <w:sz w:val="24"/>
          <w:szCs w:val="24"/>
        </w:rPr>
      </w:pPr>
      <w:r w:rsidRPr="00196059">
        <w:rPr>
          <w:sz w:val="24"/>
          <w:szCs w:val="24"/>
        </w:rPr>
        <w:t>Participar no planeamento das atividades, necessidades programáticas no âmbito dos interesses do ICAP, fornecendo informações necessárias para a tomada de decisão assertiva que viabilizará a eficiência e eficácia do desempenho programático do ICAP.</w:t>
      </w:r>
    </w:p>
    <w:p w14:paraId="1786DBA5" w14:textId="77777777" w:rsidR="00AC2085" w:rsidRPr="00196059" w:rsidRDefault="00AC2085" w:rsidP="002D4537">
      <w:pPr>
        <w:pStyle w:val="Corpodetexto"/>
        <w:numPr>
          <w:ilvl w:val="0"/>
          <w:numId w:val="14"/>
        </w:numPr>
        <w:spacing w:before="120" w:after="120" w:line="276" w:lineRule="auto"/>
        <w:jc w:val="both"/>
        <w:rPr>
          <w:sz w:val="24"/>
          <w:szCs w:val="24"/>
        </w:rPr>
      </w:pPr>
      <w:r w:rsidRPr="00196059">
        <w:rPr>
          <w:sz w:val="24"/>
          <w:szCs w:val="24"/>
        </w:rPr>
        <w:t>Participar nas missões dos Grupos de Trabalho, incluindo, mas não limitadas às relacionadas com o INLS no âmbito do desenvolvimento de diretrizes, guias operacionais, inovação, como parte da colaboração inteligente a fim de que as todos os Oficiais estejam cientes das iniciativas e que as mesmas estejam ajustadas ao contexto operacional das RAT.</w:t>
      </w:r>
    </w:p>
    <w:p w14:paraId="53440E17" w14:textId="77777777" w:rsidR="00AC2085" w:rsidRPr="00196059" w:rsidRDefault="00AC2085" w:rsidP="002D4537">
      <w:pPr>
        <w:pStyle w:val="Corpodetexto"/>
        <w:numPr>
          <w:ilvl w:val="0"/>
          <w:numId w:val="14"/>
        </w:numPr>
        <w:spacing w:before="120" w:after="120" w:line="276" w:lineRule="auto"/>
        <w:jc w:val="both"/>
        <w:rPr>
          <w:sz w:val="24"/>
          <w:szCs w:val="24"/>
        </w:rPr>
      </w:pPr>
      <w:r w:rsidRPr="00196059">
        <w:rPr>
          <w:sz w:val="24"/>
          <w:szCs w:val="24"/>
        </w:rPr>
        <w:t>Responder com eficácia e eficiência as responsabilidades designadas no âmbito das operações do ICAP: Único ICAP = Único Programa (UIUP).</w:t>
      </w:r>
    </w:p>
    <w:p w14:paraId="510B46D9" w14:textId="62FE5D09" w:rsidR="00567856" w:rsidRPr="00196059" w:rsidRDefault="00A66CD1" w:rsidP="002D4537">
      <w:pPr>
        <w:pStyle w:val="Corpodetexto"/>
        <w:numPr>
          <w:ilvl w:val="0"/>
          <w:numId w:val="14"/>
        </w:numPr>
        <w:spacing w:before="120" w:after="120" w:line="276" w:lineRule="auto"/>
        <w:jc w:val="both"/>
        <w:rPr>
          <w:sz w:val="24"/>
          <w:szCs w:val="24"/>
        </w:rPr>
      </w:pPr>
      <w:r w:rsidRPr="00196059">
        <w:rPr>
          <w:sz w:val="24"/>
          <w:szCs w:val="24"/>
        </w:rPr>
        <w:t>Executar outras tarefas relacionadas conforme as instruções</w:t>
      </w:r>
      <w:r w:rsidR="008C5701" w:rsidRPr="00196059">
        <w:rPr>
          <w:sz w:val="24"/>
          <w:szCs w:val="24"/>
        </w:rPr>
        <w:t xml:space="preserve"> do supervisor</w:t>
      </w:r>
    </w:p>
    <w:p w14:paraId="1F83FCDC" w14:textId="77777777" w:rsidR="00A657F7" w:rsidRPr="00196059" w:rsidRDefault="00A657F7" w:rsidP="002D4537">
      <w:pPr>
        <w:pStyle w:val="Corpodetexto"/>
        <w:spacing w:before="120" w:after="120" w:line="276" w:lineRule="auto"/>
        <w:ind w:left="720"/>
        <w:jc w:val="both"/>
        <w:rPr>
          <w:sz w:val="24"/>
          <w:szCs w:val="24"/>
        </w:rPr>
      </w:pPr>
    </w:p>
    <w:p w14:paraId="5D912E0F" w14:textId="57CEDA9B" w:rsidR="00AC2085" w:rsidRPr="00196059" w:rsidRDefault="00A657F7" w:rsidP="002D4537">
      <w:pPr>
        <w:pStyle w:val="TextosemFormatao"/>
        <w:spacing w:after="240" w:line="276" w:lineRule="auto"/>
        <w:rPr>
          <w:rFonts w:ascii="Times New Roman" w:hAnsi="Times New Roman"/>
          <w:b/>
          <w:sz w:val="24"/>
          <w:szCs w:val="24"/>
          <w:u w:val="single"/>
          <w:lang w:val="pt-PT"/>
        </w:rPr>
      </w:pPr>
      <w:r w:rsidRPr="00196059">
        <w:rPr>
          <w:rFonts w:ascii="Times New Roman" w:hAnsi="Times New Roman"/>
          <w:b/>
          <w:sz w:val="24"/>
          <w:szCs w:val="24"/>
          <w:u w:val="single"/>
          <w:lang w:val="pt-PT"/>
        </w:rPr>
        <w:t>EDUCAÇÃO</w:t>
      </w:r>
    </w:p>
    <w:p w14:paraId="2B655EB9" w14:textId="77777777" w:rsidR="002D4537" w:rsidRPr="00196059" w:rsidRDefault="002D4537" w:rsidP="002D4537">
      <w:pPr>
        <w:pStyle w:val="PargrafodaLista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96059">
        <w:rPr>
          <w:rFonts w:ascii="Times New Roman" w:hAnsi="Times New Roman" w:cs="Times New Roman"/>
          <w:sz w:val="24"/>
          <w:szCs w:val="24"/>
          <w:lang w:val="pt-PT"/>
        </w:rPr>
        <w:t>Graduação em Medicina.</w:t>
      </w:r>
    </w:p>
    <w:p w14:paraId="784BB87F" w14:textId="0C2DAAE9" w:rsidR="00A657F7" w:rsidRPr="00196059" w:rsidRDefault="00A657F7" w:rsidP="002D4537">
      <w:pPr>
        <w:pStyle w:val="TextosemFormatao"/>
        <w:spacing w:after="240" w:line="276" w:lineRule="auto"/>
        <w:rPr>
          <w:rFonts w:ascii="Times New Roman" w:hAnsi="Times New Roman"/>
          <w:b/>
          <w:sz w:val="24"/>
          <w:szCs w:val="24"/>
          <w:u w:val="single"/>
          <w:lang w:val="pt-PT"/>
        </w:rPr>
      </w:pPr>
      <w:r w:rsidRPr="00196059">
        <w:rPr>
          <w:rFonts w:ascii="Times New Roman" w:hAnsi="Times New Roman"/>
          <w:b/>
          <w:sz w:val="24"/>
          <w:szCs w:val="24"/>
          <w:u w:val="single"/>
          <w:lang w:val="pt-PT"/>
        </w:rPr>
        <w:t>QUALIFICAÇÕES MINIMAS</w:t>
      </w:r>
    </w:p>
    <w:p w14:paraId="2D7AE905" w14:textId="37616A29" w:rsidR="002D4537" w:rsidRPr="00196059" w:rsidRDefault="002D4537" w:rsidP="002D4537">
      <w:pPr>
        <w:pStyle w:val="PargrafodaLista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96059">
        <w:rPr>
          <w:rFonts w:ascii="Times New Roman" w:hAnsi="Times New Roman" w:cs="Times New Roman"/>
          <w:sz w:val="24"/>
          <w:szCs w:val="24"/>
          <w:lang w:val="pt-PT"/>
        </w:rPr>
        <w:t xml:space="preserve">Experiência mínima </w:t>
      </w:r>
      <w:r w:rsidR="007C1640">
        <w:rPr>
          <w:rFonts w:ascii="Times New Roman" w:hAnsi="Times New Roman" w:cs="Times New Roman"/>
          <w:sz w:val="24"/>
          <w:szCs w:val="24"/>
          <w:lang w:val="pt-PT"/>
        </w:rPr>
        <w:t>4</w:t>
      </w:r>
      <w:r w:rsidRPr="00196059">
        <w:rPr>
          <w:rFonts w:ascii="Times New Roman" w:hAnsi="Times New Roman" w:cs="Times New Roman"/>
          <w:sz w:val="24"/>
          <w:szCs w:val="24"/>
          <w:lang w:val="pt-PT"/>
        </w:rPr>
        <w:t xml:space="preserve"> anos em mentoria de profissionais de saúde no âmbito programático do VIH, diretrizes do VIH de Angola.</w:t>
      </w:r>
    </w:p>
    <w:p w14:paraId="5F4A32F7" w14:textId="77777777" w:rsidR="002D4537" w:rsidRPr="00196059" w:rsidRDefault="002D4537" w:rsidP="002D4537">
      <w:pPr>
        <w:pStyle w:val="PargrafodaLista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96059">
        <w:rPr>
          <w:rFonts w:ascii="Times New Roman" w:hAnsi="Times New Roman" w:cs="Times New Roman"/>
          <w:sz w:val="24"/>
          <w:szCs w:val="24"/>
          <w:lang w:val="pt-PT"/>
        </w:rPr>
        <w:t>Domínio técnico-metodológico e visão programática do PEPFAR incluindo das prioridades do INLS.</w:t>
      </w:r>
    </w:p>
    <w:p w14:paraId="3C9218E1" w14:textId="109D7638" w:rsidR="002D4537" w:rsidRPr="00196059" w:rsidRDefault="002D4537" w:rsidP="002D4537">
      <w:pPr>
        <w:pStyle w:val="PargrafodaLista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96059">
        <w:rPr>
          <w:rFonts w:ascii="Times New Roman" w:hAnsi="Times New Roman" w:cs="Times New Roman"/>
          <w:sz w:val="24"/>
          <w:szCs w:val="24"/>
          <w:lang w:val="pt-PT"/>
        </w:rPr>
        <w:t>Experiência mínima de 2 anos de supervisão, controlo, avaliação de “colaboradores” bem como recursos humanos.</w:t>
      </w:r>
    </w:p>
    <w:p w14:paraId="4BD13FD6" w14:textId="0EA06E1A" w:rsidR="002D4537" w:rsidRPr="00196059" w:rsidRDefault="002D4537" w:rsidP="002D4537">
      <w:pPr>
        <w:pStyle w:val="PargrafodaLista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96059">
        <w:rPr>
          <w:rFonts w:ascii="Times New Roman" w:hAnsi="Times New Roman" w:cs="Times New Roman"/>
          <w:sz w:val="24"/>
          <w:szCs w:val="24"/>
          <w:lang w:val="pt-PT"/>
        </w:rPr>
        <w:t>Conhecimento abrangente das abordagens optimizadoras da busca de casos de VIH (testagem de contactos), cuidados e modelos diferenciados de serviços de VIH, diretrizes de TARV do país, visão programática da Prevenção da Transmissão do VIH de mãe para Filho, atividades Colaborativas TB e VIH, planeamento familiar</w:t>
      </w:r>
      <w:r w:rsidR="0018329C" w:rsidRPr="00196059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358AD540" w14:textId="77777777" w:rsidR="002D4537" w:rsidRPr="00196059" w:rsidRDefault="002D4537" w:rsidP="002D4537">
      <w:pPr>
        <w:pStyle w:val="PargrafodaLista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96059">
        <w:rPr>
          <w:rFonts w:ascii="Times New Roman" w:hAnsi="Times New Roman" w:cs="Times New Roman"/>
          <w:sz w:val="24"/>
          <w:szCs w:val="24"/>
          <w:lang w:val="pt-PT"/>
        </w:rPr>
        <w:t>Conhecimento abrangente da abordagem de Melhoria de Qualidade Assistencial.</w:t>
      </w:r>
    </w:p>
    <w:p w14:paraId="2A23D04B" w14:textId="2F326C0E" w:rsidR="002D4537" w:rsidRPr="00196059" w:rsidRDefault="002D4537" w:rsidP="002D4537">
      <w:pPr>
        <w:pStyle w:val="PargrafodaLista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96059">
        <w:rPr>
          <w:rFonts w:ascii="Times New Roman" w:hAnsi="Times New Roman" w:cs="Times New Roman"/>
          <w:sz w:val="24"/>
          <w:szCs w:val="24"/>
          <w:lang w:val="pt-PT"/>
        </w:rPr>
        <w:t xml:space="preserve">Experiência mínima </w:t>
      </w:r>
      <w:r w:rsidR="007C1640">
        <w:rPr>
          <w:rFonts w:ascii="Times New Roman" w:hAnsi="Times New Roman" w:cs="Times New Roman"/>
          <w:sz w:val="24"/>
          <w:szCs w:val="24"/>
          <w:lang w:val="pt-PT"/>
        </w:rPr>
        <w:t>4</w:t>
      </w:r>
      <w:r w:rsidRPr="00196059">
        <w:rPr>
          <w:rFonts w:ascii="Times New Roman" w:hAnsi="Times New Roman" w:cs="Times New Roman"/>
          <w:sz w:val="24"/>
          <w:szCs w:val="24"/>
          <w:lang w:val="pt-PT"/>
        </w:rPr>
        <w:t xml:space="preserve"> anos em prestação de serviços relacionados ao VIH incluindo, mas não se limitando a testagem, acompanhamento clínico de pessoas vivendo com VIH, gestão, acompanhamento e avaliação de programas de cuidados e tratamento para VIH e prevenção da transmissão do VIH de mãe para filho e coinfecção VIH/TB.</w:t>
      </w:r>
    </w:p>
    <w:p w14:paraId="399E8E8F" w14:textId="36907301" w:rsidR="002D4537" w:rsidRPr="00196059" w:rsidRDefault="002D4537" w:rsidP="002D4537">
      <w:pPr>
        <w:pStyle w:val="PargrafodaLista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96059">
        <w:rPr>
          <w:rFonts w:ascii="Times New Roman" w:hAnsi="Times New Roman" w:cs="Times New Roman"/>
          <w:sz w:val="24"/>
          <w:szCs w:val="24"/>
          <w:lang w:val="pt-PT"/>
        </w:rPr>
        <w:t>Capacidade de trabalhar em equipa, ética profissional e trabalhar por objetivos e metas.</w:t>
      </w:r>
    </w:p>
    <w:p w14:paraId="20BC6231" w14:textId="77777777" w:rsidR="003B2BFF" w:rsidRPr="00196059" w:rsidRDefault="003B2BFF" w:rsidP="003B2BFF">
      <w:pPr>
        <w:pStyle w:val="PargrafodaLista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96059">
        <w:rPr>
          <w:rFonts w:ascii="Times New Roman" w:hAnsi="Times New Roman" w:cs="Times New Roman"/>
          <w:sz w:val="24"/>
          <w:szCs w:val="24"/>
          <w:lang w:val="pt-PT"/>
        </w:rPr>
        <w:lastRenderedPageBreak/>
        <w:t>Uso de computador, navegação na internet.</w:t>
      </w:r>
    </w:p>
    <w:p w14:paraId="760FB562" w14:textId="77777777" w:rsidR="003B2BFF" w:rsidRPr="00196059" w:rsidRDefault="003B2BFF" w:rsidP="003B2BFF">
      <w:pPr>
        <w:pStyle w:val="PargrafodaLista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96059">
        <w:rPr>
          <w:rFonts w:ascii="Times New Roman" w:hAnsi="Times New Roman" w:cs="Times New Roman"/>
          <w:sz w:val="24"/>
          <w:szCs w:val="24"/>
          <w:lang w:val="pt-PT"/>
        </w:rPr>
        <w:t>Habilidades de Excel básico, Word, PowerPoint.</w:t>
      </w:r>
    </w:p>
    <w:p w14:paraId="53AE6AA9" w14:textId="77777777" w:rsidR="003B2BFF" w:rsidRPr="00196059" w:rsidRDefault="003B2BFF" w:rsidP="003B2BFF">
      <w:pPr>
        <w:pStyle w:val="PargrafodaLista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Proficiência oral e escrita na língua portuguesa.</w:t>
      </w:r>
    </w:p>
    <w:p w14:paraId="07DA128C" w14:textId="77777777" w:rsidR="002D4537" w:rsidRDefault="002D4537" w:rsidP="002D4537">
      <w:pPr>
        <w:pStyle w:val="PargrafodaLista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96059">
        <w:rPr>
          <w:rFonts w:ascii="Times New Roman" w:hAnsi="Times New Roman" w:cs="Times New Roman"/>
          <w:sz w:val="24"/>
          <w:szCs w:val="24"/>
          <w:lang w:val="pt-PT"/>
        </w:rPr>
        <w:t>Submeter-se ao trabalho por objetivos e ser avaliado de acordo com desempenho dos resultados.</w:t>
      </w:r>
    </w:p>
    <w:p w14:paraId="540638C9" w14:textId="38CB38DB" w:rsidR="002D4537" w:rsidRPr="00243BA2" w:rsidRDefault="003B2BFF" w:rsidP="00276370">
      <w:pPr>
        <w:pStyle w:val="PargrafodaLista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Residir na província onde reside.</w:t>
      </w:r>
    </w:p>
    <w:p w14:paraId="504ECD67" w14:textId="2DB706E5" w:rsidR="004531D1" w:rsidRPr="00196059" w:rsidRDefault="004531D1" w:rsidP="00290D24">
      <w:pPr>
        <w:pStyle w:val="PargrafodaLista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sectPr w:rsidR="004531D1" w:rsidRPr="00196059" w:rsidSect="00290D24">
      <w:footerReference w:type="default" r:id="rId8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1C2BA" w14:textId="77777777" w:rsidR="008175CC" w:rsidRDefault="008175CC" w:rsidP="008175CC">
      <w:pPr>
        <w:spacing w:after="0" w:line="240" w:lineRule="auto"/>
      </w:pPr>
      <w:r>
        <w:separator/>
      </w:r>
    </w:p>
  </w:endnote>
  <w:endnote w:type="continuationSeparator" w:id="0">
    <w:p w14:paraId="5E7EE9CF" w14:textId="77777777" w:rsidR="008175CC" w:rsidRDefault="008175CC" w:rsidP="00817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-95093426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4882E78" w14:textId="7668E187" w:rsidR="008175CC" w:rsidRPr="008B723E" w:rsidRDefault="008175CC" w:rsidP="008B723E">
            <w:pPr>
              <w:pStyle w:val="Rodap"/>
              <w:jc w:val="right"/>
              <w:rPr>
                <w:rFonts w:ascii="Times New Roman" w:hAnsi="Times New Roman" w:cs="Times New Roman"/>
              </w:rPr>
            </w:pPr>
            <w:r w:rsidRPr="008B723E">
              <w:rPr>
                <w:rFonts w:ascii="Times New Roman" w:hAnsi="Times New Roman" w:cs="Times New Roman"/>
              </w:rPr>
              <w:t xml:space="preserve">Page </w:t>
            </w:r>
            <w:r w:rsidRPr="008B72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8B723E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8B72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8B723E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8B72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8B723E">
              <w:rPr>
                <w:rFonts w:ascii="Times New Roman" w:hAnsi="Times New Roman" w:cs="Times New Roman"/>
              </w:rPr>
              <w:t xml:space="preserve"> of </w:t>
            </w:r>
            <w:r w:rsidRPr="008B72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8B723E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8B72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8B723E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8B72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5E399" w14:textId="77777777" w:rsidR="008175CC" w:rsidRDefault="008175CC" w:rsidP="008175CC">
      <w:pPr>
        <w:spacing w:after="0" w:line="240" w:lineRule="auto"/>
      </w:pPr>
      <w:r>
        <w:separator/>
      </w:r>
    </w:p>
  </w:footnote>
  <w:footnote w:type="continuationSeparator" w:id="0">
    <w:p w14:paraId="60293822" w14:textId="77777777" w:rsidR="008175CC" w:rsidRDefault="008175CC" w:rsidP="00817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61455"/>
    <w:multiLevelType w:val="hybridMultilevel"/>
    <w:tmpl w:val="8DA8E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43641"/>
    <w:multiLevelType w:val="hybridMultilevel"/>
    <w:tmpl w:val="2690E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15C0B"/>
    <w:multiLevelType w:val="hybridMultilevel"/>
    <w:tmpl w:val="AB324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741C1"/>
    <w:multiLevelType w:val="hybridMultilevel"/>
    <w:tmpl w:val="8BD03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773CA"/>
    <w:multiLevelType w:val="hybridMultilevel"/>
    <w:tmpl w:val="704801B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7C6C8C"/>
    <w:multiLevelType w:val="hybridMultilevel"/>
    <w:tmpl w:val="02E20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56B7B"/>
    <w:multiLevelType w:val="hybridMultilevel"/>
    <w:tmpl w:val="3628E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60ED0"/>
    <w:multiLevelType w:val="hybridMultilevel"/>
    <w:tmpl w:val="F8DCC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3E33B2"/>
    <w:multiLevelType w:val="hybridMultilevel"/>
    <w:tmpl w:val="F0326C12"/>
    <w:lvl w:ilvl="0" w:tplc="3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BE4AD6"/>
    <w:multiLevelType w:val="hybridMultilevel"/>
    <w:tmpl w:val="6C22B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A609D5"/>
    <w:multiLevelType w:val="hybridMultilevel"/>
    <w:tmpl w:val="ACD631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3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3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3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673072D"/>
    <w:multiLevelType w:val="hybridMultilevel"/>
    <w:tmpl w:val="E9086AE6"/>
    <w:lvl w:ilvl="0" w:tplc="3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800C6F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 w15:restartNumberingAfterBreak="0">
    <w:nsid w:val="727A075A"/>
    <w:multiLevelType w:val="hybridMultilevel"/>
    <w:tmpl w:val="6A3E394C"/>
    <w:lvl w:ilvl="0" w:tplc="3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BB40CC6"/>
    <w:multiLevelType w:val="hybridMultilevel"/>
    <w:tmpl w:val="986618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22386899">
    <w:abstractNumId w:val="2"/>
  </w:num>
  <w:num w:numId="2" w16cid:durableId="1346244829">
    <w:abstractNumId w:val="6"/>
  </w:num>
  <w:num w:numId="3" w16cid:durableId="1214998590">
    <w:abstractNumId w:val="0"/>
  </w:num>
  <w:num w:numId="4" w16cid:durableId="129329313">
    <w:abstractNumId w:val="9"/>
  </w:num>
  <w:num w:numId="5" w16cid:durableId="408693343">
    <w:abstractNumId w:val="4"/>
  </w:num>
  <w:num w:numId="6" w16cid:durableId="795635206">
    <w:abstractNumId w:val="8"/>
  </w:num>
  <w:num w:numId="7" w16cid:durableId="1651205381">
    <w:abstractNumId w:val="13"/>
  </w:num>
  <w:num w:numId="8" w16cid:durableId="394209687">
    <w:abstractNumId w:val="10"/>
  </w:num>
  <w:num w:numId="9" w16cid:durableId="400055802">
    <w:abstractNumId w:val="11"/>
  </w:num>
  <w:num w:numId="10" w16cid:durableId="734475444">
    <w:abstractNumId w:val="7"/>
  </w:num>
  <w:num w:numId="11" w16cid:durableId="441844848">
    <w:abstractNumId w:val="14"/>
  </w:num>
  <w:num w:numId="12" w16cid:durableId="1191065799">
    <w:abstractNumId w:val="12"/>
  </w:num>
  <w:num w:numId="13" w16cid:durableId="1105660734">
    <w:abstractNumId w:val="1"/>
  </w:num>
  <w:num w:numId="14" w16cid:durableId="622005775">
    <w:abstractNumId w:val="3"/>
  </w:num>
  <w:num w:numId="15" w16cid:durableId="8331095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E71"/>
    <w:rsid w:val="0000642E"/>
    <w:rsid w:val="00010331"/>
    <w:rsid w:val="00016E18"/>
    <w:rsid w:val="00044516"/>
    <w:rsid w:val="000D2F22"/>
    <w:rsid w:val="001270DC"/>
    <w:rsid w:val="00130643"/>
    <w:rsid w:val="00176692"/>
    <w:rsid w:val="00182F2E"/>
    <w:rsid w:val="0018329C"/>
    <w:rsid w:val="00183967"/>
    <w:rsid w:val="00194D34"/>
    <w:rsid w:val="00196059"/>
    <w:rsid w:val="001C4EDC"/>
    <w:rsid w:val="001C57BA"/>
    <w:rsid w:val="00243BA2"/>
    <w:rsid w:val="00276370"/>
    <w:rsid w:val="00290D24"/>
    <w:rsid w:val="002A1E71"/>
    <w:rsid w:val="002C18B4"/>
    <w:rsid w:val="002D4537"/>
    <w:rsid w:val="002D7133"/>
    <w:rsid w:val="002E5319"/>
    <w:rsid w:val="002F3561"/>
    <w:rsid w:val="00302300"/>
    <w:rsid w:val="00304562"/>
    <w:rsid w:val="00322A62"/>
    <w:rsid w:val="003256AE"/>
    <w:rsid w:val="00340EFD"/>
    <w:rsid w:val="0037752C"/>
    <w:rsid w:val="00382FCC"/>
    <w:rsid w:val="00395AF2"/>
    <w:rsid w:val="003B2BFF"/>
    <w:rsid w:val="004244DA"/>
    <w:rsid w:val="0044469F"/>
    <w:rsid w:val="004531D1"/>
    <w:rsid w:val="0047043F"/>
    <w:rsid w:val="004B7AB3"/>
    <w:rsid w:val="004D4FD4"/>
    <w:rsid w:val="004F1F32"/>
    <w:rsid w:val="004F70E1"/>
    <w:rsid w:val="00567856"/>
    <w:rsid w:val="005E2B27"/>
    <w:rsid w:val="00604B24"/>
    <w:rsid w:val="00607ED6"/>
    <w:rsid w:val="00640619"/>
    <w:rsid w:val="00670683"/>
    <w:rsid w:val="006A3082"/>
    <w:rsid w:val="006D6B05"/>
    <w:rsid w:val="006F679E"/>
    <w:rsid w:val="00724F45"/>
    <w:rsid w:val="007C1640"/>
    <w:rsid w:val="007D0C92"/>
    <w:rsid w:val="007D5C8B"/>
    <w:rsid w:val="008175CC"/>
    <w:rsid w:val="008304D0"/>
    <w:rsid w:val="00851E09"/>
    <w:rsid w:val="008528AD"/>
    <w:rsid w:val="0089367F"/>
    <w:rsid w:val="008954CD"/>
    <w:rsid w:val="008B723E"/>
    <w:rsid w:val="008C5701"/>
    <w:rsid w:val="008F7915"/>
    <w:rsid w:val="009137E6"/>
    <w:rsid w:val="009272C9"/>
    <w:rsid w:val="00932180"/>
    <w:rsid w:val="00961B8C"/>
    <w:rsid w:val="009863B9"/>
    <w:rsid w:val="00997393"/>
    <w:rsid w:val="00A53DA2"/>
    <w:rsid w:val="00A627F4"/>
    <w:rsid w:val="00A652A1"/>
    <w:rsid w:val="00A657F7"/>
    <w:rsid w:val="00A66CD1"/>
    <w:rsid w:val="00A817A9"/>
    <w:rsid w:val="00AA6D77"/>
    <w:rsid w:val="00AB19DA"/>
    <w:rsid w:val="00AC2085"/>
    <w:rsid w:val="00AD286E"/>
    <w:rsid w:val="00B30203"/>
    <w:rsid w:val="00B41235"/>
    <w:rsid w:val="00B80CE2"/>
    <w:rsid w:val="00B968D0"/>
    <w:rsid w:val="00BC28C8"/>
    <w:rsid w:val="00BD049E"/>
    <w:rsid w:val="00BD2B4B"/>
    <w:rsid w:val="00BF3EC6"/>
    <w:rsid w:val="00BF6DCA"/>
    <w:rsid w:val="00C32B0C"/>
    <w:rsid w:val="00C647B7"/>
    <w:rsid w:val="00CA6CC1"/>
    <w:rsid w:val="00CD1753"/>
    <w:rsid w:val="00CD3CB0"/>
    <w:rsid w:val="00D07FF0"/>
    <w:rsid w:val="00D17D4B"/>
    <w:rsid w:val="00DC6C5F"/>
    <w:rsid w:val="00DD0BCE"/>
    <w:rsid w:val="00DF7308"/>
    <w:rsid w:val="00E40267"/>
    <w:rsid w:val="00E53631"/>
    <w:rsid w:val="00EB4502"/>
    <w:rsid w:val="00EC6091"/>
    <w:rsid w:val="00EE4960"/>
    <w:rsid w:val="00EF1245"/>
    <w:rsid w:val="00EF7B6E"/>
    <w:rsid w:val="00F35538"/>
    <w:rsid w:val="00F4528E"/>
    <w:rsid w:val="00F64402"/>
    <w:rsid w:val="00FB0B60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E2D30"/>
  <w15:docId w15:val="{1BB98788-7B79-4099-89FA-5F2FD4C2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A1E7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A1E71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4244DA"/>
    <w:rPr>
      <w:b/>
      <w:bCs/>
    </w:rPr>
  </w:style>
  <w:style w:type="paragraph" w:styleId="TextosemFormatao">
    <w:name w:val="Plain Text"/>
    <w:basedOn w:val="Normal"/>
    <w:link w:val="TextosemFormataoChar"/>
    <w:rsid w:val="00CA6CC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CA6CC1"/>
    <w:rPr>
      <w:rFonts w:ascii="Courier New" w:eastAsia="Times New Roman" w:hAnsi="Courier New"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1C57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  <w14:ligatures w14:val="standardContextual"/>
    </w:rPr>
  </w:style>
  <w:style w:type="character" w:customStyle="1" w:styleId="CorpodetextoChar">
    <w:name w:val="Corpo de texto Char"/>
    <w:basedOn w:val="Fontepargpadro"/>
    <w:link w:val="Corpodetexto"/>
    <w:uiPriority w:val="1"/>
    <w:rsid w:val="001C57BA"/>
    <w:rPr>
      <w:rFonts w:ascii="Times New Roman" w:eastAsia="Times New Roman" w:hAnsi="Times New Roman" w:cs="Times New Roman"/>
      <w:lang w:val="pt-PT"/>
      <w14:ligatures w14:val="standardContextual"/>
    </w:rPr>
  </w:style>
  <w:style w:type="paragraph" w:styleId="Reviso">
    <w:name w:val="Revision"/>
    <w:hidden/>
    <w:uiPriority w:val="99"/>
    <w:semiHidden/>
    <w:rsid w:val="009272C9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817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75CC"/>
  </w:style>
  <w:style w:type="paragraph" w:styleId="Rodap">
    <w:name w:val="footer"/>
    <w:basedOn w:val="Normal"/>
    <w:link w:val="RodapChar"/>
    <w:uiPriority w:val="99"/>
    <w:unhideWhenUsed/>
    <w:rsid w:val="00817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7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2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1217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 - MSPH</Company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Mapingure, Munyaradzi</dc:creator>
  <cp:lastModifiedBy>Licença Office24</cp:lastModifiedBy>
  <cp:revision>80</cp:revision>
  <dcterms:created xsi:type="dcterms:W3CDTF">2023-07-21T12:23:00Z</dcterms:created>
  <dcterms:modified xsi:type="dcterms:W3CDTF">2024-10-16T10:27:00Z</dcterms:modified>
</cp:coreProperties>
</file>