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C1CF6" w14:textId="77777777" w:rsidR="003B589C" w:rsidRPr="00FF1B68" w:rsidRDefault="003B589C">
      <w:pPr>
        <w:spacing w:before="3"/>
        <w:rPr>
          <w:rFonts w:ascii="Times New Roman" w:eastAsia="Times New Roman" w:hAnsi="Times New Roman" w:cs="Times New Roman"/>
          <w:spacing w:val="-6"/>
          <w:sz w:val="19"/>
          <w:szCs w:val="19"/>
        </w:rPr>
      </w:pPr>
    </w:p>
    <w:tbl>
      <w:tblPr>
        <w:tblStyle w:val="TableNormal1"/>
        <w:tblW w:w="0" w:type="auto"/>
        <w:tblInd w:w="99" w:type="dxa"/>
        <w:tblLayout w:type="fixed"/>
        <w:tblLook w:val="01E0" w:firstRow="1" w:lastRow="1" w:firstColumn="1" w:lastColumn="1" w:noHBand="0" w:noVBand="0"/>
      </w:tblPr>
      <w:tblGrid>
        <w:gridCol w:w="2124"/>
        <w:gridCol w:w="7228"/>
      </w:tblGrid>
      <w:tr w:rsidR="003B589C" w:rsidRPr="00FF1B68" w14:paraId="4C1A252A" w14:textId="77777777">
        <w:trPr>
          <w:trHeight w:hRule="exact" w:val="286"/>
        </w:trPr>
        <w:tc>
          <w:tcPr>
            <w:tcW w:w="2124" w:type="dxa"/>
            <w:tcBorders>
              <w:top w:val="single" w:sz="5" w:space="0" w:color="000000"/>
              <w:left w:val="single" w:sz="5" w:space="0" w:color="000000"/>
              <w:bottom w:val="single" w:sz="5" w:space="0" w:color="000000"/>
              <w:right w:val="single" w:sz="5" w:space="0" w:color="000000"/>
            </w:tcBorders>
          </w:tcPr>
          <w:p w14:paraId="27AFD0ED" w14:textId="77777777" w:rsidR="003B589C" w:rsidRPr="00FF1B68" w:rsidRDefault="00FF1B68">
            <w:pPr>
              <w:pStyle w:val="TableParagraph"/>
              <w:spacing w:line="274" w:lineRule="exact"/>
              <w:ind w:left="102"/>
              <w:rPr>
                <w:rFonts w:ascii="Times New Roman" w:eastAsia="Times New Roman" w:hAnsi="Times New Roman" w:cs="Times New Roman"/>
                <w:spacing w:val="-6"/>
                <w:sz w:val="24"/>
                <w:szCs w:val="24"/>
              </w:rPr>
            </w:pPr>
            <w:r w:rsidRPr="00FF1B68">
              <w:rPr>
                <w:rFonts w:ascii="Times New Roman"/>
                <w:b/>
                <w:spacing w:val="-6"/>
                <w:sz w:val="24"/>
              </w:rPr>
              <w:t>Nombre del cargo:</w:t>
            </w:r>
          </w:p>
        </w:tc>
        <w:tc>
          <w:tcPr>
            <w:tcW w:w="7228" w:type="dxa"/>
            <w:tcBorders>
              <w:top w:val="single" w:sz="5" w:space="0" w:color="000000"/>
              <w:left w:val="single" w:sz="5" w:space="0" w:color="000000"/>
              <w:bottom w:val="single" w:sz="5" w:space="0" w:color="000000"/>
              <w:right w:val="single" w:sz="5" w:space="0" w:color="000000"/>
            </w:tcBorders>
          </w:tcPr>
          <w:p w14:paraId="1EEED97C" w14:textId="5F7E36FD" w:rsidR="003B589C" w:rsidRPr="00FF1B68" w:rsidRDefault="00C64887">
            <w:pPr>
              <w:pStyle w:val="TableParagraph"/>
              <w:spacing w:line="274" w:lineRule="exact"/>
              <w:ind w:left="102"/>
              <w:rPr>
                <w:rFonts w:ascii="Times New Roman" w:eastAsia="Times New Roman" w:hAnsi="Times New Roman" w:cs="Times New Roman"/>
                <w:spacing w:val="-6"/>
                <w:sz w:val="24"/>
                <w:szCs w:val="24"/>
              </w:rPr>
            </w:pPr>
            <w:r>
              <w:rPr>
                <w:rFonts w:ascii="Times New Roman"/>
                <w:spacing w:val="-4"/>
                <w:sz w:val="24"/>
              </w:rPr>
              <w:t>Supervisor de laboratorio para infecci</w:t>
            </w:r>
            <w:r>
              <w:rPr>
                <w:rFonts w:ascii="Times New Roman"/>
                <w:spacing w:val="-4"/>
                <w:sz w:val="24"/>
              </w:rPr>
              <w:t>ó</w:t>
            </w:r>
            <w:r>
              <w:rPr>
                <w:rFonts w:ascii="Times New Roman"/>
                <w:spacing w:val="-4"/>
                <w:sz w:val="24"/>
              </w:rPr>
              <w:t>n reciente de VIH</w:t>
            </w:r>
          </w:p>
        </w:tc>
      </w:tr>
      <w:tr w:rsidR="003B589C" w:rsidRPr="00FF1B68" w14:paraId="279A73E7" w14:textId="77777777">
        <w:trPr>
          <w:trHeight w:hRule="exact" w:val="562"/>
        </w:trPr>
        <w:tc>
          <w:tcPr>
            <w:tcW w:w="2124" w:type="dxa"/>
            <w:tcBorders>
              <w:top w:val="single" w:sz="5" w:space="0" w:color="000000"/>
              <w:left w:val="single" w:sz="5" w:space="0" w:color="000000"/>
              <w:bottom w:val="single" w:sz="5" w:space="0" w:color="000000"/>
              <w:right w:val="single" w:sz="5" w:space="0" w:color="000000"/>
            </w:tcBorders>
          </w:tcPr>
          <w:p w14:paraId="2210A22A" w14:textId="77777777" w:rsidR="003B589C" w:rsidRPr="00FF1B68" w:rsidRDefault="00FF1B68">
            <w:pPr>
              <w:pStyle w:val="TableParagraph"/>
              <w:ind w:left="102" w:right="856"/>
              <w:rPr>
                <w:rFonts w:ascii="Times New Roman" w:eastAsia="Times New Roman" w:hAnsi="Times New Roman" w:cs="Times New Roman"/>
                <w:spacing w:val="-6"/>
                <w:sz w:val="24"/>
                <w:szCs w:val="24"/>
              </w:rPr>
            </w:pPr>
            <w:r w:rsidRPr="00FF1B68">
              <w:rPr>
                <w:rFonts w:ascii="Times New Roman"/>
                <w:b/>
                <w:spacing w:val="-6"/>
                <w:sz w:val="24"/>
              </w:rPr>
              <w:t>Se reporta a (cargo):</w:t>
            </w:r>
          </w:p>
        </w:tc>
        <w:tc>
          <w:tcPr>
            <w:tcW w:w="7228" w:type="dxa"/>
            <w:tcBorders>
              <w:top w:val="single" w:sz="5" w:space="0" w:color="000000"/>
              <w:left w:val="single" w:sz="5" w:space="0" w:color="000000"/>
              <w:bottom w:val="single" w:sz="5" w:space="0" w:color="000000"/>
              <w:right w:val="single" w:sz="5" w:space="0" w:color="000000"/>
            </w:tcBorders>
          </w:tcPr>
          <w:p w14:paraId="7329D9EE" w14:textId="77777777" w:rsidR="003B589C" w:rsidRPr="00FF1B68" w:rsidRDefault="00FF1B68">
            <w:pPr>
              <w:pStyle w:val="TableParagraph"/>
              <w:spacing w:line="274" w:lineRule="exact"/>
              <w:ind w:left="102"/>
              <w:rPr>
                <w:rFonts w:ascii="Times New Roman" w:eastAsia="Times New Roman" w:hAnsi="Times New Roman" w:cs="Times New Roman"/>
                <w:spacing w:val="-6"/>
                <w:sz w:val="24"/>
                <w:szCs w:val="24"/>
              </w:rPr>
            </w:pPr>
            <w:r w:rsidRPr="00FF1B68">
              <w:rPr>
                <w:rFonts w:ascii="Times New Roman"/>
                <w:spacing w:val="-6"/>
                <w:sz w:val="24"/>
              </w:rPr>
              <w:t>Director T</w:t>
            </w:r>
            <w:r w:rsidRPr="00FF1B68">
              <w:rPr>
                <w:rFonts w:ascii="Times New Roman"/>
                <w:spacing w:val="-6"/>
                <w:sz w:val="24"/>
              </w:rPr>
              <w:t>é</w:t>
            </w:r>
            <w:r w:rsidRPr="00FF1B68">
              <w:rPr>
                <w:rFonts w:ascii="Times New Roman"/>
                <w:spacing w:val="-6"/>
                <w:sz w:val="24"/>
              </w:rPr>
              <w:t>cnico ICAP, Guatemala</w:t>
            </w:r>
          </w:p>
        </w:tc>
      </w:tr>
      <w:tr w:rsidR="003B589C" w:rsidRPr="00FF1B68" w14:paraId="57CC2E04" w14:textId="77777777">
        <w:trPr>
          <w:trHeight w:hRule="exact" w:val="286"/>
        </w:trPr>
        <w:tc>
          <w:tcPr>
            <w:tcW w:w="2124" w:type="dxa"/>
            <w:tcBorders>
              <w:top w:val="single" w:sz="5" w:space="0" w:color="000000"/>
              <w:left w:val="single" w:sz="5" w:space="0" w:color="000000"/>
              <w:bottom w:val="single" w:sz="5" w:space="0" w:color="000000"/>
              <w:right w:val="single" w:sz="5" w:space="0" w:color="000000"/>
            </w:tcBorders>
          </w:tcPr>
          <w:p w14:paraId="6B5D22E2" w14:textId="77777777" w:rsidR="003B589C" w:rsidRPr="00FF1B68" w:rsidRDefault="00FF1B68">
            <w:pPr>
              <w:pStyle w:val="TableParagraph"/>
              <w:spacing w:line="274" w:lineRule="exact"/>
              <w:ind w:left="102"/>
              <w:rPr>
                <w:rFonts w:ascii="Times New Roman" w:eastAsia="Times New Roman" w:hAnsi="Times New Roman" w:cs="Times New Roman"/>
                <w:spacing w:val="-6"/>
                <w:sz w:val="24"/>
                <w:szCs w:val="24"/>
              </w:rPr>
            </w:pPr>
            <w:r w:rsidRPr="00FF1B68">
              <w:rPr>
                <w:rFonts w:ascii="Times New Roman"/>
                <w:b/>
                <w:spacing w:val="-6"/>
                <w:sz w:val="24"/>
              </w:rPr>
              <w:t>Titular</w:t>
            </w:r>
          </w:p>
        </w:tc>
        <w:tc>
          <w:tcPr>
            <w:tcW w:w="7228" w:type="dxa"/>
            <w:tcBorders>
              <w:top w:val="single" w:sz="5" w:space="0" w:color="000000"/>
              <w:left w:val="single" w:sz="5" w:space="0" w:color="000000"/>
              <w:bottom w:val="single" w:sz="5" w:space="0" w:color="000000"/>
              <w:right w:val="single" w:sz="5" w:space="0" w:color="000000"/>
            </w:tcBorders>
          </w:tcPr>
          <w:p w14:paraId="6F101A41" w14:textId="77777777" w:rsidR="003B589C" w:rsidRPr="00FF1B68" w:rsidRDefault="00FF1B68">
            <w:pPr>
              <w:pStyle w:val="TableParagraph"/>
              <w:spacing w:line="274" w:lineRule="exact"/>
              <w:ind w:left="102"/>
              <w:rPr>
                <w:rFonts w:ascii="Times New Roman" w:eastAsia="Times New Roman" w:hAnsi="Times New Roman" w:cs="Times New Roman"/>
                <w:spacing w:val="-6"/>
                <w:sz w:val="24"/>
                <w:szCs w:val="24"/>
              </w:rPr>
            </w:pPr>
            <w:r w:rsidRPr="00FF1B68">
              <w:rPr>
                <w:rFonts w:ascii="Times New Roman"/>
                <w:spacing w:val="-6"/>
                <w:sz w:val="24"/>
              </w:rPr>
              <w:t>NUEVO</w:t>
            </w:r>
          </w:p>
        </w:tc>
      </w:tr>
      <w:tr w:rsidR="003B589C" w:rsidRPr="00FF1B68" w14:paraId="66E757B4" w14:textId="77777777">
        <w:trPr>
          <w:trHeight w:hRule="exact" w:val="288"/>
        </w:trPr>
        <w:tc>
          <w:tcPr>
            <w:tcW w:w="2124" w:type="dxa"/>
            <w:tcBorders>
              <w:top w:val="single" w:sz="5" w:space="0" w:color="000000"/>
              <w:left w:val="single" w:sz="5" w:space="0" w:color="000000"/>
              <w:bottom w:val="single" w:sz="5" w:space="0" w:color="000000"/>
              <w:right w:val="single" w:sz="5" w:space="0" w:color="000000"/>
            </w:tcBorders>
          </w:tcPr>
          <w:p w14:paraId="4F0E39C7" w14:textId="77777777" w:rsidR="003B589C" w:rsidRPr="00FF1B68" w:rsidRDefault="00FF1B68">
            <w:pPr>
              <w:pStyle w:val="TableParagraph"/>
              <w:ind w:left="102"/>
              <w:rPr>
                <w:rFonts w:ascii="Times New Roman" w:eastAsia="Times New Roman" w:hAnsi="Times New Roman" w:cs="Times New Roman"/>
                <w:spacing w:val="-6"/>
                <w:sz w:val="24"/>
                <w:szCs w:val="24"/>
              </w:rPr>
            </w:pPr>
            <w:r w:rsidRPr="00FF1B68">
              <w:rPr>
                <w:rFonts w:ascii="Times New Roman"/>
                <w:b/>
                <w:spacing w:val="-6"/>
                <w:sz w:val="24"/>
              </w:rPr>
              <w:t>Ubicaci</w:t>
            </w:r>
            <w:r w:rsidRPr="00FF1B68">
              <w:rPr>
                <w:rFonts w:ascii="Times New Roman"/>
                <w:b/>
                <w:spacing w:val="-6"/>
                <w:sz w:val="24"/>
              </w:rPr>
              <w:t>ó</w:t>
            </w:r>
            <w:r w:rsidRPr="00FF1B68">
              <w:rPr>
                <w:rFonts w:ascii="Times New Roman"/>
                <w:b/>
                <w:spacing w:val="-6"/>
                <w:sz w:val="24"/>
              </w:rPr>
              <w:t>n:</w:t>
            </w:r>
          </w:p>
        </w:tc>
        <w:tc>
          <w:tcPr>
            <w:tcW w:w="7228" w:type="dxa"/>
            <w:tcBorders>
              <w:top w:val="single" w:sz="5" w:space="0" w:color="000000"/>
              <w:left w:val="single" w:sz="5" w:space="0" w:color="000000"/>
              <w:bottom w:val="single" w:sz="5" w:space="0" w:color="000000"/>
              <w:right w:val="single" w:sz="5" w:space="0" w:color="000000"/>
            </w:tcBorders>
          </w:tcPr>
          <w:p w14:paraId="6FCB5777" w14:textId="34EF2549" w:rsidR="003B589C" w:rsidRPr="00FF1B68" w:rsidRDefault="00E81A43">
            <w:pPr>
              <w:pStyle w:val="TableParagraph"/>
              <w:ind w:left="102"/>
              <w:rPr>
                <w:rFonts w:ascii="Times New Roman" w:eastAsia="Times New Roman" w:hAnsi="Times New Roman" w:cs="Times New Roman"/>
                <w:spacing w:val="-6"/>
                <w:sz w:val="24"/>
                <w:szCs w:val="24"/>
              </w:rPr>
            </w:pPr>
            <w:r>
              <w:rPr>
                <w:rFonts w:ascii="Times New Roman"/>
                <w:spacing w:val="-4"/>
                <w:sz w:val="24"/>
              </w:rPr>
              <w:t>Rep</w:t>
            </w:r>
            <w:r>
              <w:rPr>
                <w:rFonts w:ascii="Times New Roman"/>
                <w:spacing w:val="-4"/>
                <w:sz w:val="24"/>
              </w:rPr>
              <w:t>ú</w:t>
            </w:r>
            <w:r>
              <w:rPr>
                <w:rFonts w:ascii="Times New Roman"/>
                <w:spacing w:val="-4"/>
                <w:sz w:val="24"/>
              </w:rPr>
              <w:t>blica de El Salvador</w:t>
            </w:r>
          </w:p>
        </w:tc>
      </w:tr>
      <w:tr w:rsidR="003B589C" w:rsidRPr="00FF1B68" w14:paraId="35ED2CBF" w14:textId="77777777">
        <w:trPr>
          <w:trHeight w:hRule="exact" w:val="286"/>
        </w:trPr>
        <w:tc>
          <w:tcPr>
            <w:tcW w:w="2124" w:type="dxa"/>
            <w:tcBorders>
              <w:top w:val="single" w:sz="5" w:space="0" w:color="000000"/>
              <w:left w:val="single" w:sz="5" w:space="0" w:color="000000"/>
              <w:bottom w:val="single" w:sz="5" w:space="0" w:color="000000"/>
              <w:right w:val="single" w:sz="5" w:space="0" w:color="000000"/>
            </w:tcBorders>
          </w:tcPr>
          <w:p w14:paraId="541C8EBF" w14:textId="77777777" w:rsidR="003B589C" w:rsidRPr="00FF1B68" w:rsidRDefault="00FF1B68">
            <w:pPr>
              <w:pStyle w:val="TableParagraph"/>
              <w:spacing w:line="274" w:lineRule="exact"/>
              <w:ind w:left="102"/>
              <w:rPr>
                <w:rFonts w:ascii="Times New Roman" w:eastAsia="Times New Roman" w:hAnsi="Times New Roman" w:cs="Times New Roman"/>
                <w:spacing w:val="-6"/>
                <w:sz w:val="24"/>
                <w:szCs w:val="24"/>
              </w:rPr>
            </w:pPr>
            <w:r w:rsidRPr="00FF1B68">
              <w:rPr>
                <w:rFonts w:ascii="Times New Roman"/>
                <w:b/>
                <w:spacing w:val="-6"/>
                <w:sz w:val="24"/>
              </w:rPr>
              <w:t>Fecha:</w:t>
            </w:r>
          </w:p>
        </w:tc>
        <w:tc>
          <w:tcPr>
            <w:tcW w:w="7228" w:type="dxa"/>
            <w:tcBorders>
              <w:top w:val="single" w:sz="5" w:space="0" w:color="000000"/>
              <w:left w:val="single" w:sz="5" w:space="0" w:color="000000"/>
              <w:bottom w:val="single" w:sz="5" w:space="0" w:color="000000"/>
              <w:right w:val="single" w:sz="5" w:space="0" w:color="000000"/>
            </w:tcBorders>
          </w:tcPr>
          <w:p w14:paraId="669D26FA" w14:textId="77777777" w:rsidR="003B589C" w:rsidRPr="00FF1B68" w:rsidRDefault="00FF1B68">
            <w:pPr>
              <w:pStyle w:val="TableParagraph"/>
              <w:spacing w:line="274" w:lineRule="exact"/>
              <w:ind w:left="102"/>
              <w:rPr>
                <w:rFonts w:ascii="Times New Roman" w:eastAsia="Times New Roman" w:hAnsi="Times New Roman" w:cs="Times New Roman"/>
                <w:spacing w:val="-6"/>
                <w:sz w:val="24"/>
                <w:szCs w:val="24"/>
              </w:rPr>
            </w:pPr>
            <w:r w:rsidRPr="00FF1B68">
              <w:rPr>
                <w:rFonts w:ascii="Times New Roman"/>
                <w:spacing w:val="-6"/>
                <w:sz w:val="24"/>
              </w:rPr>
              <w:t>Diciembre de 2020</w:t>
            </w:r>
          </w:p>
        </w:tc>
      </w:tr>
    </w:tbl>
    <w:p w14:paraId="66DA72C0" w14:textId="77777777" w:rsidR="003B589C" w:rsidRPr="00FF1B68" w:rsidRDefault="003B589C">
      <w:pPr>
        <w:rPr>
          <w:rFonts w:ascii="Times New Roman" w:eastAsia="Times New Roman" w:hAnsi="Times New Roman" w:cs="Times New Roman"/>
          <w:spacing w:val="-6"/>
          <w:sz w:val="20"/>
          <w:szCs w:val="20"/>
        </w:rPr>
      </w:pPr>
    </w:p>
    <w:p w14:paraId="65712802" w14:textId="77777777" w:rsidR="003B589C" w:rsidRPr="00FF1B68" w:rsidRDefault="003B589C">
      <w:pPr>
        <w:spacing w:before="4"/>
        <w:rPr>
          <w:rFonts w:ascii="Times New Roman" w:eastAsia="Times New Roman" w:hAnsi="Times New Roman" w:cs="Times New Roman"/>
          <w:spacing w:val="-6"/>
          <w:sz w:val="21"/>
          <w:szCs w:val="21"/>
        </w:rPr>
      </w:pPr>
    </w:p>
    <w:p w14:paraId="4118C305" w14:textId="77777777" w:rsidR="003B589C" w:rsidRPr="00FF1B68" w:rsidRDefault="00FF1B68">
      <w:pPr>
        <w:pStyle w:val="Heading1"/>
        <w:spacing w:before="69"/>
        <w:rPr>
          <w:b w:val="0"/>
          <w:bCs w:val="0"/>
          <w:spacing w:val="-6"/>
          <w:u w:val="none"/>
        </w:rPr>
      </w:pPr>
      <w:r w:rsidRPr="00FF1B68">
        <w:rPr>
          <w:spacing w:val="-6"/>
          <w:u w:val="thick" w:color="000000"/>
        </w:rPr>
        <w:t>Resumen del cargo:</w:t>
      </w:r>
    </w:p>
    <w:p w14:paraId="575C95DF" w14:textId="0455E1C1" w:rsidR="003B589C" w:rsidRPr="00E81A43" w:rsidRDefault="00C64887">
      <w:pPr>
        <w:rPr>
          <w:rFonts w:ascii="Times New Roman" w:eastAsia="Times New Roman" w:hAnsi="Times New Roman"/>
          <w:spacing w:val="-4"/>
          <w:sz w:val="24"/>
          <w:szCs w:val="24"/>
        </w:rPr>
      </w:pPr>
      <w:r w:rsidRPr="00E81A43">
        <w:rPr>
          <w:rFonts w:ascii="Times New Roman" w:eastAsia="Times New Roman" w:hAnsi="Times New Roman"/>
          <w:spacing w:val="-4"/>
          <w:sz w:val="24"/>
          <w:szCs w:val="24"/>
        </w:rPr>
        <w:t xml:space="preserve">ICAP en la Universidad de Columbia ha recibido fondos para trabajar con la Universidad del Valle en Guatemala (UVG) para implementar la prueba rápida de infección reciente por VIH-1 (RTRI) financiada a través del Plan de Emergencia del Presidente de los Estados Unidos para el Alivio del SIDA (PEPFAR). ICAP supervisará las tendencias de la epidemia, informará para </w:t>
      </w:r>
      <w:proofErr w:type="gramStart"/>
      <w:r w:rsidRPr="00E81A43">
        <w:rPr>
          <w:rFonts w:ascii="Times New Roman" w:eastAsia="Times New Roman" w:hAnsi="Times New Roman"/>
          <w:spacing w:val="-4"/>
          <w:sz w:val="24"/>
          <w:szCs w:val="24"/>
        </w:rPr>
        <w:t>la  respuesta</w:t>
      </w:r>
      <w:proofErr w:type="gramEnd"/>
      <w:r w:rsidRPr="00E81A43">
        <w:rPr>
          <w:rFonts w:ascii="Times New Roman" w:eastAsia="Times New Roman" w:hAnsi="Times New Roman"/>
          <w:spacing w:val="-4"/>
          <w:sz w:val="24"/>
          <w:szCs w:val="24"/>
        </w:rPr>
        <w:t xml:space="preserve"> rápida a nivel nacional, local e individual y acelerará el progreso hacia el control de la epidemia. ICAP tiene la tarea de proporcionar asistencia técnica para ampliar el uso de ensayos rápidos en los sitios de prueba del VIH y crear sistemas de datos para capturar datos para caracterizar los agrupamientos de casos y ayudar a orientar las intervenciones de prevención. </w:t>
      </w:r>
    </w:p>
    <w:p w14:paraId="15EE73F1" w14:textId="06A05C44" w:rsidR="003B589C" w:rsidRPr="00FF1B68" w:rsidRDefault="00FF1B68">
      <w:pPr>
        <w:pStyle w:val="BodyText"/>
        <w:ind w:left="100" w:right="358" w:firstLine="0"/>
        <w:rPr>
          <w:spacing w:val="-6"/>
        </w:rPr>
      </w:pPr>
      <w:r w:rsidRPr="00FF1B68">
        <w:rPr>
          <w:spacing w:val="-6"/>
        </w:rPr>
        <w:t xml:space="preserve">El </w:t>
      </w:r>
      <w:r w:rsidR="00C64887">
        <w:rPr>
          <w:spacing w:val="-4"/>
        </w:rPr>
        <w:t>Supervisor de laboratorio para infección reciente de VIH</w:t>
      </w:r>
      <w:r w:rsidR="00C64887" w:rsidRPr="00FF1B68" w:rsidDel="00C64887">
        <w:rPr>
          <w:spacing w:val="-6"/>
        </w:rPr>
        <w:t xml:space="preserve"> </w:t>
      </w:r>
      <w:proofErr w:type="spellStart"/>
      <w:r w:rsidRPr="00FF1B68">
        <w:rPr>
          <w:spacing w:val="-6"/>
        </w:rPr>
        <w:t>uales</w:t>
      </w:r>
      <w:proofErr w:type="spellEnd"/>
      <w:r w:rsidRPr="00FF1B68">
        <w:rPr>
          <w:spacing w:val="-6"/>
        </w:rPr>
        <w:t xml:space="preserve">, </w:t>
      </w:r>
      <w:proofErr w:type="gramStart"/>
      <w:r w:rsidRPr="00FF1B68">
        <w:rPr>
          <w:spacing w:val="-6"/>
        </w:rPr>
        <w:t>que  reporta</w:t>
      </w:r>
      <w:proofErr w:type="gramEnd"/>
      <w:r w:rsidRPr="00FF1B68">
        <w:rPr>
          <w:spacing w:val="-6"/>
        </w:rPr>
        <w:t xml:space="preserve"> al director técnico de ICAP en Guatemala, proporcionará la gestión diaria de las actividades operativas y técnicas asociadas con </w:t>
      </w:r>
      <w:r w:rsidR="00C64887">
        <w:rPr>
          <w:spacing w:val="-6"/>
        </w:rPr>
        <w:t>la vigilancia de infección reciente en</w:t>
      </w:r>
      <w:r w:rsidRPr="00FF1B68">
        <w:rPr>
          <w:spacing w:val="-6"/>
        </w:rPr>
        <w:t xml:space="preserve"> </w:t>
      </w:r>
      <w:r w:rsidR="000277F2">
        <w:rPr>
          <w:spacing w:val="-4"/>
        </w:rPr>
        <w:t>República de El Salvador</w:t>
      </w:r>
      <w:r w:rsidRPr="00FF1B68">
        <w:rPr>
          <w:spacing w:val="-6"/>
        </w:rPr>
        <w:t xml:space="preserve">. El </w:t>
      </w:r>
      <w:r w:rsidR="00C64887">
        <w:rPr>
          <w:spacing w:val="-6"/>
        </w:rPr>
        <w:t>s</w:t>
      </w:r>
      <w:r w:rsidR="00C64887">
        <w:rPr>
          <w:spacing w:val="-4"/>
        </w:rPr>
        <w:t>upervisor de laboratorio para infección reciente de VIH</w:t>
      </w:r>
      <w:r w:rsidRPr="00FF1B68">
        <w:rPr>
          <w:spacing w:val="-6"/>
        </w:rPr>
        <w:t xml:space="preserve"> proporcionará orientación y servirá como enlace directo con los socios implementadores, y se registrará y proporcionará actualizaciones periódicas al equipo de la sede de PSA en Nueva York. El objetivo de este puesto es mejorar la vigilancia de las infecciones </w:t>
      </w:r>
      <w:r w:rsidR="00C64887">
        <w:rPr>
          <w:spacing w:val="-6"/>
        </w:rPr>
        <w:t xml:space="preserve">recientes </w:t>
      </w:r>
      <w:r w:rsidRPr="00FF1B68">
        <w:rPr>
          <w:spacing w:val="-6"/>
        </w:rPr>
        <w:t xml:space="preserve">por VIH para informar las estrategias de respuesta de Salud Pública y las intervenciones que contribuyan a alcanzar y mantener el control de la epidemia del VIH en </w:t>
      </w:r>
      <w:r w:rsidR="000277F2">
        <w:rPr>
          <w:spacing w:val="-4"/>
        </w:rPr>
        <w:t>República de El Salvador</w:t>
      </w:r>
      <w:r w:rsidRPr="00FF1B68">
        <w:rPr>
          <w:spacing w:val="-6"/>
        </w:rPr>
        <w:t>.</w:t>
      </w:r>
    </w:p>
    <w:p w14:paraId="77E2958D" w14:textId="77777777" w:rsidR="003B589C" w:rsidRPr="00FF1B68" w:rsidRDefault="003B589C">
      <w:pPr>
        <w:rPr>
          <w:rFonts w:ascii="Times New Roman" w:eastAsia="Times New Roman" w:hAnsi="Times New Roman" w:cs="Times New Roman"/>
          <w:spacing w:val="-6"/>
          <w:sz w:val="24"/>
          <w:szCs w:val="24"/>
        </w:rPr>
      </w:pPr>
    </w:p>
    <w:p w14:paraId="4A903A7B" w14:textId="77777777" w:rsidR="003B589C" w:rsidRPr="00FF1B68" w:rsidRDefault="00FF1B68">
      <w:pPr>
        <w:pStyle w:val="BodyText"/>
        <w:ind w:left="100" w:firstLine="0"/>
        <w:rPr>
          <w:spacing w:val="-6"/>
        </w:rPr>
      </w:pPr>
      <w:r w:rsidRPr="00FF1B68">
        <w:rPr>
          <w:spacing w:val="-6"/>
        </w:rPr>
        <w:t>Esta posición está financiada por subvenciones.</w:t>
      </w:r>
    </w:p>
    <w:p w14:paraId="1A206F0E" w14:textId="77777777" w:rsidR="003B589C" w:rsidRPr="00FF1B68" w:rsidRDefault="003B589C">
      <w:pPr>
        <w:rPr>
          <w:rFonts w:ascii="Times New Roman" w:eastAsia="Times New Roman" w:hAnsi="Times New Roman" w:cs="Times New Roman"/>
          <w:spacing w:val="-6"/>
          <w:sz w:val="24"/>
          <w:szCs w:val="24"/>
        </w:rPr>
      </w:pPr>
    </w:p>
    <w:p w14:paraId="695134EA" w14:textId="77777777" w:rsidR="003B589C" w:rsidRPr="00FF1B68" w:rsidRDefault="00FF1B68">
      <w:pPr>
        <w:pStyle w:val="Heading1"/>
        <w:rPr>
          <w:b w:val="0"/>
          <w:bCs w:val="0"/>
          <w:spacing w:val="-6"/>
          <w:u w:val="none"/>
        </w:rPr>
      </w:pPr>
      <w:r w:rsidRPr="00FF1B68">
        <w:rPr>
          <w:spacing w:val="-6"/>
          <w:u w:val="thick" w:color="000000"/>
        </w:rPr>
        <w:t>Responsabilidades principales:</w:t>
      </w:r>
    </w:p>
    <w:p w14:paraId="6B67E420" w14:textId="5100616A" w:rsidR="003B589C" w:rsidRPr="00FF1B68" w:rsidRDefault="00FF1B68">
      <w:pPr>
        <w:pStyle w:val="BodyText"/>
        <w:spacing w:line="276" w:lineRule="exact"/>
        <w:ind w:left="100" w:firstLine="0"/>
        <w:rPr>
          <w:spacing w:val="-6"/>
        </w:rPr>
      </w:pPr>
      <w:r w:rsidRPr="00FF1B68">
        <w:rPr>
          <w:spacing w:val="-6"/>
        </w:rPr>
        <w:t xml:space="preserve">El </w:t>
      </w:r>
      <w:r w:rsidR="00C64887">
        <w:rPr>
          <w:spacing w:val="-6"/>
        </w:rPr>
        <w:t>s</w:t>
      </w:r>
      <w:r w:rsidR="00C64887">
        <w:rPr>
          <w:spacing w:val="-4"/>
        </w:rPr>
        <w:t>upervisor de laboratorio para infección reciente de VIH</w:t>
      </w:r>
      <w:r w:rsidR="000277F2">
        <w:rPr>
          <w:spacing w:val="-4"/>
        </w:rPr>
        <w:t xml:space="preserve"> </w:t>
      </w:r>
      <w:r w:rsidRPr="00FF1B68">
        <w:rPr>
          <w:spacing w:val="-6"/>
        </w:rPr>
        <w:t>asumirá las siguientes responsabilidades:</w:t>
      </w:r>
    </w:p>
    <w:p w14:paraId="0BA787C7" w14:textId="7793A805" w:rsidR="003B589C" w:rsidRPr="00FF1B68" w:rsidRDefault="00FF1B68">
      <w:pPr>
        <w:pStyle w:val="BodyText"/>
        <w:numPr>
          <w:ilvl w:val="0"/>
          <w:numId w:val="2"/>
        </w:numPr>
        <w:tabs>
          <w:tab w:val="left" w:pos="461"/>
        </w:tabs>
        <w:spacing w:line="293" w:lineRule="exact"/>
        <w:rPr>
          <w:spacing w:val="-6"/>
        </w:rPr>
      </w:pPr>
      <w:r w:rsidRPr="00FF1B68">
        <w:rPr>
          <w:spacing w:val="-6"/>
        </w:rPr>
        <w:t xml:space="preserve">Supervisar la administración completa del proyecto en </w:t>
      </w:r>
      <w:r w:rsidR="000277F2">
        <w:rPr>
          <w:spacing w:val="-4"/>
        </w:rPr>
        <w:t>República de El Salvador</w:t>
      </w:r>
      <w:r w:rsidRPr="00FF1B68">
        <w:rPr>
          <w:spacing w:val="-6"/>
        </w:rPr>
        <w:t>.</w:t>
      </w:r>
    </w:p>
    <w:p w14:paraId="3510A35A" w14:textId="77777777" w:rsidR="003B589C" w:rsidRPr="00FF1B68" w:rsidRDefault="00FF1B68">
      <w:pPr>
        <w:pStyle w:val="BodyText"/>
        <w:numPr>
          <w:ilvl w:val="0"/>
          <w:numId w:val="2"/>
        </w:numPr>
        <w:tabs>
          <w:tab w:val="left" w:pos="461"/>
        </w:tabs>
        <w:spacing w:line="293" w:lineRule="exact"/>
        <w:rPr>
          <w:spacing w:val="-6"/>
        </w:rPr>
      </w:pPr>
      <w:r w:rsidRPr="00FF1B68">
        <w:rPr>
          <w:spacing w:val="-6"/>
        </w:rPr>
        <w:t>Supervisar el trabajo actual operativo y técnico que se realiza según sea necesario.</w:t>
      </w:r>
    </w:p>
    <w:p w14:paraId="5A57872A" w14:textId="1A64F716" w:rsidR="003B589C" w:rsidRPr="00FF1B68" w:rsidRDefault="00FF1B68">
      <w:pPr>
        <w:pStyle w:val="BodyText"/>
        <w:numPr>
          <w:ilvl w:val="0"/>
          <w:numId w:val="2"/>
        </w:numPr>
        <w:tabs>
          <w:tab w:val="left" w:pos="461"/>
        </w:tabs>
        <w:ind w:right="358"/>
        <w:rPr>
          <w:spacing w:val="-6"/>
        </w:rPr>
      </w:pPr>
      <w:r w:rsidRPr="00FF1B68">
        <w:rPr>
          <w:spacing w:val="-6"/>
        </w:rPr>
        <w:t xml:space="preserve">Brindar soporte de implementación y monitoreo por encima del sitio para el despliegue de pruebas </w:t>
      </w:r>
      <w:r w:rsidR="00C64887">
        <w:rPr>
          <w:spacing w:val="-6"/>
        </w:rPr>
        <w:t>de infección reciente</w:t>
      </w:r>
      <w:r w:rsidR="00C64887" w:rsidRPr="00FF1B68">
        <w:rPr>
          <w:spacing w:val="-6"/>
        </w:rPr>
        <w:t xml:space="preserve"> </w:t>
      </w:r>
      <w:r w:rsidRPr="00FF1B68">
        <w:rPr>
          <w:spacing w:val="-6"/>
        </w:rPr>
        <w:t xml:space="preserve">y de carga viral, así </w:t>
      </w:r>
      <w:proofErr w:type="gramStart"/>
      <w:r w:rsidRPr="00FF1B68">
        <w:rPr>
          <w:spacing w:val="-6"/>
        </w:rPr>
        <w:t xml:space="preserve">como </w:t>
      </w:r>
      <w:r w:rsidR="00C64887">
        <w:rPr>
          <w:spacing w:val="-6"/>
        </w:rPr>
        <w:t xml:space="preserve"> coordinar</w:t>
      </w:r>
      <w:proofErr w:type="gramEnd"/>
      <w:r w:rsidR="00C64887">
        <w:rPr>
          <w:spacing w:val="-6"/>
        </w:rPr>
        <w:t xml:space="preserve"> </w:t>
      </w:r>
      <w:r w:rsidRPr="00FF1B68">
        <w:rPr>
          <w:spacing w:val="-6"/>
        </w:rPr>
        <w:t xml:space="preserve">la captura y </w:t>
      </w:r>
      <w:r w:rsidR="00C64887">
        <w:rPr>
          <w:spacing w:val="-6"/>
        </w:rPr>
        <w:t>análisis</w:t>
      </w:r>
      <w:r w:rsidR="00C64887" w:rsidRPr="00FF1B68">
        <w:rPr>
          <w:spacing w:val="-6"/>
        </w:rPr>
        <w:t xml:space="preserve"> </w:t>
      </w:r>
      <w:r w:rsidRPr="00FF1B68">
        <w:rPr>
          <w:spacing w:val="-6"/>
        </w:rPr>
        <w:t>de datos.</w:t>
      </w:r>
    </w:p>
    <w:p w14:paraId="6AE93D6F" w14:textId="2B63CE2C" w:rsidR="003B589C" w:rsidRPr="00FF1B68" w:rsidRDefault="00FF1B68">
      <w:pPr>
        <w:pStyle w:val="BodyText"/>
        <w:numPr>
          <w:ilvl w:val="0"/>
          <w:numId w:val="2"/>
        </w:numPr>
        <w:tabs>
          <w:tab w:val="left" w:pos="461"/>
        </w:tabs>
        <w:ind w:right="204"/>
        <w:rPr>
          <w:spacing w:val="-6"/>
        </w:rPr>
      </w:pPr>
      <w:r w:rsidRPr="00FF1B68">
        <w:rPr>
          <w:spacing w:val="-6"/>
        </w:rPr>
        <w:t xml:space="preserve">Coordinar las aportaciones y </w:t>
      </w:r>
      <w:r w:rsidR="00C64887">
        <w:rPr>
          <w:spacing w:val="-6"/>
        </w:rPr>
        <w:t>productos de parte de</w:t>
      </w:r>
      <w:r w:rsidRPr="00FF1B68">
        <w:rPr>
          <w:spacing w:val="-6"/>
        </w:rPr>
        <w:t xml:space="preserve"> los expertos técnicos de ICAP </w:t>
      </w:r>
      <w:r w:rsidR="00C64887">
        <w:rPr>
          <w:spacing w:val="-6"/>
        </w:rPr>
        <w:t>respecto a las pruebas de infección reciente</w:t>
      </w:r>
    </w:p>
    <w:p w14:paraId="10E6A9BD" w14:textId="6418C0CA" w:rsidR="003B589C" w:rsidRPr="00FF1B68" w:rsidRDefault="00FF1B68">
      <w:pPr>
        <w:pStyle w:val="BodyText"/>
        <w:numPr>
          <w:ilvl w:val="0"/>
          <w:numId w:val="2"/>
        </w:numPr>
        <w:tabs>
          <w:tab w:val="left" w:pos="461"/>
        </w:tabs>
        <w:spacing w:line="294" w:lineRule="exact"/>
        <w:rPr>
          <w:spacing w:val="-6"/>
        </w:rPr>
      </w:pPr>
      <w:r w:rsidRPr="00FF1B68">
        <w:rPr>
          <w:spacing w:val="-6"/>
        </w:rPr>
        <w:t>Coordinar los esfuerzos de desarrollo de capacidades en el uso de datos</w:t>
      </w:r>
      <w:r w:rsidR="00B8538A">
        <w:rPr>
          <w:spacing w:val="-6"/>
        </w:rPr>
        <w:t xml:space="preserve"> de infección </w:t>
      </w:r>
      <w:proofErr w:type="gramStart"/>
      <w:r w:rsidR="00B8538A">
        <w:rPr>
          <w:spacing w:val="-6"/>
        </w:rPr>
        <w:t xml:space="preserve">reciente </w:t>
      </w:r>
      <w:r w:rsidRPr="00FF1B68">
        <w:rPr>
          <w:spacing w:val="-6"/>
        </w:rPr>
        <w:t xml:space="preserve"> para</w:t>
      </w:r>
      <w:proofErr w:type="gramEnd"/>
      <w:r w:rsidRPr="00FF1B68">
        <w:rPr>
          <w:spacing w:val="-6"/>
        </w:rPr>
        <w:t xml:space="preserve"> mejorar </w:t>
      </w:r>
      <w:r w:rsidR="00B8538A">
        <w:rPr>
          <w:spacing w:val="-6"/>
        </w:rPr>
        <w:t>la respuesta al VIH</w:t>
      </w:r>
    </w:p>
    <w:p w14:paraId="7C0A660A" w14:textId="77777777" w:rsidR="003B589C" w:rsidRPr="00FF1B68" w:rsidRDefault="00FF1B68">
      <w:pPr>
        <w:pStyle w:val="BodyText"/>
        <w:numPr>
          <w:ilvl w:val="0"/>
          <w:numId w:val="2"/>
        </w:numPr>
        <w:tabs>
          <w:tab w:val="left" w:pos="461"/>
        </w:tabs>
        <w:spacing w:before="1"/>
        <w:ind w:right="114"/>
        <w:rPr>
          <w:spacing w:val="-6"/>
        </w:rPr>
      </w:pPr>
      <w:r w:rsidRPr="00FF1B68">
        <w:rPr>
          <w:spacing w:val="-6"/>
        </w:rPr>
        <w:t>Dirigir todas las actividades, productos y resultados relacionados con la gestión y administración del proyecto, incluidos los informes, la ejecución de los planes del proyecto y el monitoreo y la evaluación del desempeño del proyecto a nivel de centro y sitio para las pruebas de infección actuales en Guatemala.</w:t>
      </w:r>
    </w:p>
    <w:p w14:paraId="35F9782F" w14:textId="00C9F9E1" w:rsidR="003B589C" w:rsidRPr="00FF1B68" w:rsidRDefault="00FF1B68">
      <w:pPr>
        <w:pStyle w:val="BodyText"/>
        <w:numPr>
          <w:ilvl w:val="0"/>
          <w:numId w:val="2"/>
        </w:numPr>
        <w:tabs>
          <w:tab w:val="left" w:pos="461"/>
        </w:tabs>
        <w:ind w:right="347"/>
        <w:jc w:val="both"/>
        <w:rPr>
          <w:spacing w:val="-6"/>
        </w:rPr>
      </w:pPr>
      <w:r w:rsidRPr="00FF1B68">
        <w:rPr>
          <w:spacing w:val="-6"/>
        </w:rPr>
        <w:t>Representar el proyecto en asuntos relacionados con la ejecución de actividades relacionadas con el programa con socios gubernamentales, CDC y otros socios.</w:t>
      </w:r>
    </w:p>
    <w:p w14:paraId="3E8461F1" w14:textId="77777777" w:rsidR="003B589C" w:rsidRPr="00FF1B68" w:rsidRDefault="00FF1B68">
      <w:pPr>
        <w:pStyle w:val="BodyText"/>
        <w:numPr>
          <w:ilvl w:val="0"/>
          <w:numId w:val="2"/>
        </w:numPr>
        <w:tabs>
          <w:tab w:val="left" w:pos="461"/>
        </w:tabs>
        <w:ind w:right="551"/>
        <w:rPr>
          <w:spacing w:val="-6"/>
        </w:rPr>
      </w:pPr>
      <w:r w:rsidRPr="00FF1B68">
        <w:rPr>
          <w:spacing w:val="-6"/>
        </w:rPr>
        <w:t>Presentar el progreso, los logros y las lecciones aprendidas a las partes interesadas clave, incluidos los CDC, socios gubernamentales y otros socios implementadores.</w:t>
      </w:r>
    </w:p>
    <w:p w14:paraId="379D1853" w14:textId="77777777" w:rsidR="000277F2" w:rsidRDefault="000277F2">
      <w:pPr>
        <w:spacing w:before="58" w:line="252" w:lineRule="exact"/>
        <w:ind w:right="117"/>
        <w:jc w:val="right"/>
        <w:rPr>
          <w:spacing w:val="-6"/>
        </w:rPr>
      </w:pPr>
    </w:p>
    <w:p w14:paraId="416ABD65" w14:textId="77777777" w:rsidR="000277F2" w:rsidRDefault="000277F2">
      <w:pPr>
        <w:spacing w:before="58" w:line="252" w:lineRule="exact"/>
        <w:ind w:right="117"/>
        <w:jc w:val="right"/>
        <w:rPr>
          <w:spacing w:val="-6"/>
        </w:rPr>
      </w:pPr>
    </w:p>
    <w:p w14:paraId="475077FF" w14:textId="77777777" w:rsidR="000277F2" w:rsidRDefault="000277F2">
      <w:pPr>
        <w:spacing w:before="58" w:line="252" w:lineRule="exact"/>
        <w:ind w:right="117"/>
        <w:jc w:val="right"/>
        <w:rPr>
          <w:spacing w:val="-6"/>
        </w:rPr>
      </w:pPr>
    </w:p>
    <w:p w14:paraId="3D627808" w14:textId="77777777" w:rsidR="000277F2" w:rsidRDefault="000277F2">
      <w:pPr>
        <w:spacing w:before="58" w:line="252" w:lineRule="exact"/>
        <w:ind w:right="117"/>
        <w:jc w:val="right"/>
        <w:rPr>
          <w:spacing w:val="-6"/>
        </w:rPr>
      </w:pPr>
    </w:p>
    <w:p w14:paraId="70A6940F" w14:textId="77777777" w:rsidR="000277F2" w:rsidRDefault="000277F2">
      <w:pPr>
        <w:spacing w:before="58" w:line="252" w:lineRule="exact"/>
        <w:ind w:right="117"/>
        <w:jc w:val="right"/>
        <w:rPr>
          <w:spacing w:val="-6"/>
        </w:rPr>
      </w:pPr>
    </w:p>
    <w:p w14:paraId="09ED53E3" w14:textId="77777777" w:rsidR="000277F2" w:rsidRDefault="000277F2">
      <w:pPr>
        <w:spacing w:before="58" w:line="252" w:lineRule="exact"/>
        <w:ind w:right="117"/>
        <w:jc w:val="right"/>
        <w:rPr>
          <w:spacing w:val="-6"/>
        </w:rPr>
      </w:pPr>
    </w:p>
    <w:p w14:paraId="6DA479F6" w14:textId="26E315CA" w:rsidR="003B589C" w:rsidRPr="00FF1B68" w:rsidRDefault="000277F2">
      <w:pPr>
        <w:spacing w:before="58" w:line="252" w:lineRule="exact"/>
        <w:ind w:right="117"/>
        <w:jc w:val="right"/>
        <w:rPr>
          <w:rFonts w:ascii="Times New Roman" w:eastAsia="Times New Roman" w:hAnsi="Times New Roman" w:cs="Times New Roman"/>
          <w:spacing w:val="-6"/>
        </w:rPr>
      </w:pPr>
      <w:r>
        <w:rPr>
          <w:rFonts w:ascii="Times New Roman"/>
          <w:spacing w:val="-4"/>
          <w:sz w:val="24"/>
        </w:rPr>
        <w:t>Supervisor de Laboratorio para I</w:t>
      </w:r>
      <w:r w:rsidR="00B8538A">
        <w:rPr>
          <w:rFonts w:ascii="Times New Roman"/>
          <w:spacing w:val="-4"/>
          <w:sz w:val="24"/>
        </w:rPr>
        <w:t>nfecci</w:t>
      </w:r>
      <w:r w:rsidR="00B8538A">
        <w:rPr>
          <w:rFonts w:ascii="Times New Roman"/>
          <w:spacing w:val="-4"/>
          <w:sz w:val="24"/>
        </w:rPr>
        <w:t>ó</w:t>
      </w:r>
      <w:r>
        <w:rPr>
          <w:rFonts w:ascii="Times New Roman"/>
          <w:spacing w:val="-4"/>
          <w:sz w:val="24"/>
        </w:rPr>
        <w:t>n R</w:t>
      </w:r>
      <w:r w:rsidR="00B8538A">
        <w:rPr>
          <w:rFonts w:ascii="Times New Roman"/>
          <w:spacing w:val="-4"/>
          <w:sz w:val="24"/>
        </w:rPr>
        <w:t>eciente de VIH</w:t>
      </w:r>
      <w:r w:rsidR="00B8538A" w:rsidRPr="00FF1B68" w:rsidDel="00B8538A">
        <w:rPr>
          <w:rFonts w:ascii="Times New Roman"/>
          <w:spacing w:val="-6"/>
        </w:rPr>
        <w:t xml:space="preserve"> </w:t>
      </w:r>
      <w:r w:rsidR="00FF1B68" w:rsidRPr="00FF1B68">
        <w:rPr>
          <w:rFonts w:ascii="Times New Roman"/>
          <w:spacing w:val="-6"/>
        </w:rPr>
        <w:t>(</w:t>
      </w:r>
      <w:r>
        <w:rPr>
          <w:rFonts w:ascii="Times New Roman"/>
          <w:spacing w:val="-4"/>
          <w:sz w:val="24"/>
        </w:rPr>
        <w:t>Rep</w:t>
      </w:r>
      <w:r>
        <w:rPr>
          <w:rFonts w:ascii="Times New Roman"/>
          <w:spacing w:val="-4"/>
          <w:sz w:val="24"/>
        </w:rPr>
        <w:t>ú</w:t>
      </w:r>
      <w:r>
        <w:rPr>
          <w:rFonts w:ascii="Times New Roman"/>
          <w:spacing w:val="-4"/>
          <w:sz w:val="24"/>
        </w:rPr>
        <w:t>blica de El Salvador</w:t>
      </w:r>
      <w:bookmarkStart w:id="0" w:name="_GoBack"/>
      <w:bookmarkEnd w:id="0"/>
      <w:r w:rsidR="00FF1B68" w:rsidRPr="00FF1B68">
        <w:rPr>
          <w:rFonts w:ascii="Times New Roman"/>
          <w:spacing w:val="-6"/>
        </w:rPr>
        <w:t>) - 2</w:t>
      </w:r>
    </w:p>
    <w:p w14:paraId="59E7B340" w14:textId="77777777" w:rsidR="003B589C" w:rsidRPr="00FF1B68" w:rsidRDefault="00FF1B68">
      <w:pPr>
        <w:spacing w:line="252" w:lineRule="exact"/>
        <w:ind w:right="113"/>
        <w:jc w:val="right"/>
        <w:rPr>
          <w:rFonts w:ascii="Times New Roman" w:eastAsia="Times New Roman" w:hAnsi="Times New Roman" w:cs="Times New Roman"/>
          <w:spacing w:val="-6"/>
        </w:rPr>
      </w:pPr>
      <w:r w:rsidRPr="00FF1B68">
        <w:rPr>
          <w:rFonts w:ascii="Times New Roman"/>
          <w:spacing w:val="-6"/>
        </w:rPr>
        <w:t>Diciembre de 2020</w:t>
      </w:r>
    </w:p>
    <w:p w14:paraId="28D472D9" w14:textId="77777777" w:rsidR="003B589C" w:rsidRPr="00FF1B68" w:rsidRDefault="003B589C">
      <w:pPr>
        <w:spacing w:before="9"/>
        <w:rPr>
          <w:rFonts w:ascii="Times New Roman" w:eastAsia="Times New Roman" w:hAnsi="Times New Roman" w:cs="Times New Roman"/>
          <w:spacing w:val="-6"/>
          <w:sz w:val="18"/>
          <w:szCs w:val="18"/>
        </w:rPr>
      </w:pPr>
    </w:p>
    <w:p w14:paraId="7946A514" w14:textId="77777777" w:rsidR="003B589C" w:rsidRPr="00FF1B68" w:rsidRDefault="00FF1B68">
      <w:pPr>
        <w:pStyle w:val="BodyText"/>
        <w:numPr>
          <w:ilvl w:val="0"/>
          <w:numId w:val="2"/>
        </w:numPr>
        <w:tabs>
          <w:tab w:val="left" w:pos="461"/>
        </w:tabs>
        <w:spacing w:line="293" w:lineRule="exact"/>
        <w:rPr>
          <w:spacing w:val="-6"/>
        </w:rPr>
      </w:pPr>
      <w:r w:rsidRPr="00FF1B68">
        <w:rPr>
          <w:spacing w:val="-6"/>
        </w:rPr>
        <w:t>Incrementar la visibilidad del proyecto a través de la representación en visitas de alto nivel con CDC.</w:t>
      </w:r>
    </w:p>
    <w:p w14:paraId="2637DD97" w14:textId="77777777" w:rsidR="003B589C" w:rsidRPr="00FF1B68" w:rsidRDefault="00FF1B68">
      <w:pPr>
        <w:pStyle w:val="BodyText"/>
        <w:numPr>
          <w:ilvl w:val="0"/>
          <w:numId w:val="2"/>
        </w:numPr>
        <w:tabs>
          <w:tab w:val="left" w:pos="461"/>
        </w:tabs>
        <w:ind w:right="441"/>
        <w:rPr>
          <w:spacing w:val="-6"/>
        </w:rPr>
      </w:pPr>
      <w:r w:rsidRPr="00FF1B68">
        <w:rPr>
          <w:spacing w:val="-6"/>
        </w:rPr>
        <w:t>Apoyar la difusión de los hallazgos del proyecto, incluida la realización de pruebas rápidas de actualidad, la descripción de la estructura de vigilancia desarrollada para monitorear las infecciones recientes y las tendencias y patrones de infecciones recientes en los países.</w:t>
      </w:r>
    </w:p>
    <w:p w14:paraId="483C9DEE" w14:textId="77777777" w:rsidR="003B589C" w:rsidRPr="00FF1B68" w:rsidRDefault="003B589C">
      <w:pPr>
        <w:rPr>
          <w:rFonts w:ascii="Times New Roman" w:eastAsia="Times New Roman" w:hAnsi="Times New Roman" w:cs="Times New Roman"/>
          <w:spacing w:val="-6"/>
          <w:sz w:val="24"/>
          <w:szCs w:val="24"/>
        </w:rPr>
      </w:pPr>
    </w:p>
    <w:p w14:paraId="58839684" w14:textId="09C5481A" w:rsidR="003B589C" w:rsidRPr="00FF1B68" w:rsidRDefault="00FF1B68">
      <w:pPr>
        <w:pStyle w:val="BodyText"/>
        <w:ind w:left="100" w:right="441" w:firstLine="0"/>
        <w:rPr>
          <w:spacing w:val="-6"/>
        </w:rPr>
      </w:pPr>
      <w:r w:rsidRPr="00FF1B68">
        <w:rPr>
          <w:b/>
          <w:bCs/>
          <w:spacing w:val="-6"/>
          <w:u w:val="thick" w:color="000000"/>
        </w:rPr>
        <w:t xml:space="preserve">Educación: </w:t>
      </w:r>
      <w:r w:rsidR="00B8538A">
        <w:rPr>
          <w:spacing w:val="-6"/>
        </w:rPr>
        <w:t xml:space="preserve"> Licenciatura o equivalente en salud, con maestría </w:t>
      </w:r>
      <w:proofErr w:type="spellStart"/>
      <w:r w:rsidR="00B8538A">
        <w:rPr>
          <w:spacing w:val="-6"/>
        </w:rPr>
        <w:t>ene</w:t>
      </w:r>
      <w:r w:rsidRPr="00FF1B68">
        <w:rPr>
          <w:spacing w:val="-6"/>
        </w:rPr>
        <w:t>pidemiología</w:t>
      </w:r>
      <w:proofErr w:type="spellEnd"/>
      <w:r w:rsidRPr="00FF1B68">
        <w:rPr>
          <w:spacing w:val="-6"/>
        </w:rPr>
        <w:t xml:space="preserve">, </w:t>
      </w:r>
      <w:proofErr w:type="gramStart"/>
      <w:r w:rsidR="00B8538A">
        <w:rPr>
          <w:spacing w:val="-6"/>
        </w:rPr>
        <w:t>d</w:t>
      </w:r>
      <w:r w:rsidRPr="00FF1B68">
        <w:rPr>
          <w:spacing w:val="-6"/>
        </w:rPr>
        <w:t>emografía</w:t>
      </w:r>
      <w:r w:rsidR="00B8538A">
        <w:rPr>
          <w:spacing w:val="-6"/>
        </w:rPr>
        <w:t xml:space="preserve"> </w:t>
      </w:r>
      <w:r w:rsidRPr="00FF1B68">
        <w:rPr>
          <w:spacing w:val="-6"/>
        </w:rPr>
        <w:t xml:space="preserve"> Salud</w:t>
      </w:r>
      <w:proofErr w:type="gramEnd"/>
      <w:r w:rsidRPr="00FF1B68">
        <w:rPr>
          <w:spacing w:val="-6"/>
        </w:rPr>
        <w:t xml:space="preserve"> Pública o disciplina relacionada</w:t>
      </w:r>
      <w:r w:rsidR="00B8538A">
        <w:rPr>
          <w:spacing w:val="-6"/>
        </w:rPr>
        <w:t>. Pr</w:t>
      </w:r>
      <w:r w:rsidRPr="00FF1B68">
        <w:rPr>
          <w:spacing w:val="-6"/>
        </w:rPr>
        <w:t>eferible un título de doctorado.</w:t>
      </w:r>
    </w:p>
    <w:p w14:paraId="4B3224BD" w14:textId="77777777" w:rsidR="003B589C" w:rsidRPr="00FF1B68" w:rsidRDefault="003B589C">
      <w:pPr>
        <w:rPr>
          <w:rFonts w:ascii="Times New Roman" w:eastAsia="Times New Roman" w:hAnsi="Times New Roman" w:cs="Times New Roman"/>
          <w:spacing w:val="-6"/>
          <w:sz w:val="24"/>
          <w:szCs w:val="24"/>
        </w:rPr>
      </w:pPr>
    </w:p>
    <w:p w14:paraId="5DB837E2" w14:textId="77777777" w:rsidR="003B589C" w:rsidRPr="00FF1B68" w:rsidRDefault="00FF1B68">
      <w:pPr>
        <w:pStyle w:val="Heading1"/>
        <w:spacing w:line="276" w:lineRule="exact"/>
        <w:rPr>
          <w:b w:val="0"/>
          <w:bCs w:val="0"/>
          <w:spacing w:val="-6"/>
          <w:u w:val="none"/>
        </w:rPr>
      </w:pPr>
      <w:r w:rsidRPr="00FF1B68">
        <w:rPr>
          <w:spacing w:val="-6"/>
          <w:u w:val="thick" w:color="000000"/>
        </w:rPr>
        <w:t>Experiencia, habilidades y calificaciones mínimas requeridas:</w:t>
      </w:r>
    </w:p>
    <w:p w14:paraId="7F44AF0A" w14:textId="7E7B6B63" w:rsidR="003B589C" w:rsidRPr="00FF1B68" w:rsidRDefault="00FF1B68" w:rsidP="00FF1B68">
      <w:pPr>
        <w:pStyle w:val="BodyText"/>
        <w:numPr>
          <w:ilvl w:val="0"/>
          <w:numId w:val="2"/>
        </w:numPr>
        <w:tabs>
          <w:tab w:val="left" w:pos="461"/>
        </w:tabs>
        <w:ind w:right="82"/>
        <w:rPr>
          <w:spacing w:val="-6"/>
        </w:rPr>
      </w:pPr>
      <w:r w:rsidRPr="00FF1B68">
        <w:rPr>
          <w:spacing w:val="-6"/>
        </w:rPr>
        <w:t xml:space="preserve">Al menos ocho (8) años de experiencia en la gestión de proyectos de salud o desarrollo a gran escala, con capacidad probada para construir y gestionar un equipo diverso de personal técnico </w:t>
      </w:r>
      <w:r>
        <w:rPr>
          <w:spacing w:val="-6"/>
        </w:rPr>
        <w:br/>
      </w:r>
      <w:r w:rsidRPr="00FF1B68">
        <w:rPr>
          <w:spacing w:val="-6"/>
        </w:rPr>
        <w:t>y de apoyo.</w:t>
      </w:r>
    </w:p>
    <w:p w14:paraId="08FC1FF4" w14:textId="77777777" w:rsidR="003B589C" w:rsidRPr="00FF1B68" w:rsidRDefault="00FF1B68" w:rsidP="00FF1B68">
      <w:pPr>
        <w:pStyle w:val="BodyText"/>
        <w:numPr>
          <w:ilvl w:val="0"/>
          <w:numId w:val="2"/>
        </w:numPr>
        <w:tabs>
          <w:tab w:val="left" w:pos="461"/>
        </w:tabs>
        <w:ind w:right="82"/>
        <w:rPr>
          <w:spacing w:val="-6"/>
        </w:rPr>
      </w:pPr>
      <w:r w:rsidRPr="00FF1B68">
        <w:rPr>
          <w:spacing w:val="-6"/>
        </w:rPr>
        <w:t>Capacidad para coordinar un equipo de expertos técnicos con experiencia diversa (desarrolladores de sistemas de información, epidemiólogos, proveedores de servicios de salud, etc.).</w:t>
      </w:r>
    </w:p>
    <w:p w14:paraId="4B6276EE" w14:textId="5616B8BF" w:rsidR="003B589C" w:rsidRPr="00FF1B68" w:rsidRDefault="00FF1B68" w:rsidP="00FF1B68">
      <w:pPr>
        <w:pStyle w:val="BodyText"/>
        <w:numPr>
          <w:ilvl w:val="0"/>
          <w:numId w:val="2"/>
        </w:numPr>
        <w:tabs>
          <w:tab w:val="left" w:pos="461"/>
        </w:tabs>
        <w:ind w:right="82"/>
        <w:rPr>
          <w:spacing w:val="-6"/>
        </w:rPr>
      </w:pPr>
      <w:r w:rsidRPr="00FF1B68">
        <w:rPr>
          <w:spacing w:val="-6"/>
        </w:rPr>
        <w:t>Capacidad demostrada para trabajar con una variedad de partes interesadas (por ejemplo, Ministerio de Salud, autoridades del gobierno local, organizaciones asociadas, sociedad civil y donantes).</w:t>
      </w:r>
    </w:p>
    <w:p w14:paraId="1B797782" w14:textId="77777777" w:rsidR="003B589C" w:rsidRPr="00FF1B68" w:rsidRDefault="00FF1B68" w:rsidP="00FF1B68">
      <w:pPr>
        <w:pStyle w:val="BodyText"/>
        <w:numPr>
          <w:ilvl w:val="0"/>
          <w:numId w:val="2"/>
        </w:numPr>
        <w:tabs>
          <w:tab w:val="left" w:pos="461"/>
        </w:tabs>
        <w:ind w:right="82"/>
        <w:rPr>
          <w:spacing w:val="-6"/>
        </w:rPr>
      </w:pPr>
      <w:r w:rsidRPr="00FF1B68">
        <w:rPr>
          <w:spacing w:val="-6"/>
        </w:rPr>
        <w:t>Experiencia demostrada en facilitar la difusión y el uso de datos de vigilancia de enfermedades.</w:t>
      </w:r>
    </w:p>
    <w:p w14:paraId="1DEA710C" w14:textId="77777777" w:rsidR="003B589C" w:rsidRPr="00FF1B68" w:rsidRDefault="00FF1B68" w:rsidP="00FF1B68">
      <w:pPr>
        <w:pStyle w:val="BodyText"/>
        <w:numPr>
          <w:ilvl w:val="0"/>
          <w:numId w:val="2"/>
        </w:numPr>
        <w:tabs>
          <w:tab w:val="left" w:pos="461"/>
        </w:tabs>
        <w:spacing w:line="293" w:lineRule="exact"/>
        <w:ind w:right="82"/>
        <w:rPr>
          <w:spacing w:val="-6"/>
        </w:rPr>
      </w:pPr>
      <w:r w:rsidRPr="00FF1B68">
        <w:rPr>
          <w:spacing w:val="-6"/>
        </w:rPr>
        <w:t>Competencia demostrada en el análisis de datos de vigilancia de enfermedades.</w:t>
      </w:r>
    </w:p>
    <w:p w14:paraId="45FFA363" w14:textId="77777777" w:rsidR="003B589C" w:rsidRPr="00FF1B68" w:rsidRDefault="00FF1B68" w:rsidP="00FF1B68">
      <w:pPr>
        <w:pStyle w:val="BodyText"/>
        <w:numPr>
          <w:ilvl w:val="0"/>
          <w:numId w:val="2"/>
        </w:numPr>
        <w:tabs>
          <w:tab w:val="left" w:pos="461"/>
        </w:tabs>
        <w:spacing w:line="293" w:lineRule="exact"/>
        <w:ind w:right="82"/>
        <w:rPr>
          <w:spacing w:val="-6"/>
        </w:rPr>
      </w:pPr>
      <w:r w:rsidRPr="00FF1B68">
        <w:rPr>
          <w:spacing w:val="-6"/>
        </w:rPr>
        <w:t>Competencia demostrada de trabajo dentro de los CDC o regulaciones y procedimientos similares.</w:t>
      </w:r>
    </w:p>
    <w:p w14:paraId="7B2BF87C" w14:textId="77777777" w:rsidR="003B589C" w:rsidRPr="00FF1B68" w:rsidRDefault="00FF1B68" w:rsidP="00FF1B68">
      <w:pPr>
        <w:pStyle w:val="BodyText"/>
        <w:numPr>
          <w:ilvl w:val="0"/>
          <w:numId w:val="2"/>
        </w:numPr>
        <w:tabs>
          <w:tab w:val="left" w:pos="461"/>
        </w:tabs>
        <w:ind w:right="82"/>
        <w:rPr>
          <w:spacing w:val="-6"/>
        </w:rPr>
      </w:pPr>
      <w:r w:rsidRPr="00FF1B68">
        <w:rPr>
          <w:spacing w:val="-6"/>
        </w:rPr>
        <w:t>Experiencia comprobada en el establecimiento de relaciones de trabajo y colaboración con el gobierno de los Estados Unidos, otras agencias donantes bilaterales o multilaterales y con los gobiernos de los países anfitriones.</w:t>
      </w:r>
    </w:p>
    <w:p w14:paraId="60E89FFC" w14:textId="77777777" w:rsidR="003B589C" w:rsidRPr="00FF1B68" w:rsidRDefault="00FF1B68" w:rsidP="00FF1B68">
      <w:pPr>
        <w:pStyle w:val="BodyText"/>
        <w:numPr>
          <w:ilvl w:val="0"/>
          <w:numId w:val="1"/>
        </w:numPr>
        <w:tabs>
          <w:tab w:val="left" w:pos="461"/>
        </w:tabs>
        <w:ind w:right="82"/>
        <w:rPr>
          <w:spacing w:val="-6"/>
        </w:rPr>
      </w:pPr>
      <w:r w:rsidRPr="00FF1B68">
        <w:rPr>
          <w:spacing w:val="-6"/>
        </w:rPr>
        <w:t>Habilidades de comunicación oral y escrita fluidas en inglés y español; capacidad para interactuar profesionalmente en inglés y español.</w:t>
      </w:r>
    </w:p>
    <w:p w14:paraId="574E78F6" w14:textId="77777777" w:rsidR="003B589C" w:rsidRPr="00FF1B68" w:rsidRDefault="00FF1B68" w:rsidP="00FF1B68">
      <w:pPr>
        <w:pStyle w:val="BodyText"/>
        <w:numPr>
          <w:ilvl w:val="0"/>
          <w:numId w:val="1"/>
        </w:numPr>
        <w:tabs>
          <w:tab w:val="left" w:pos="461"/>
        </w:tabs>
        <w:ind w:right="82"/>
        <w:rPr>
          <w:spacing w:val="-6"/>
        </w:rPr>
      </w:pPr>
      <w:r w:rsidRPr="00FF1B68">
        <w:rPr>
          <w:spacing w:val="-6"/>
        </w:rPr>
        <w:t>Se recomienda encarecidamente que se postulen los candidatos calificados con autorización de trabajo válida.</w:t>
      </w:r>
    </w:p>
    <w:sectPr w:rsidR="003B589C" w:rsidRPr="00FF1B68">
      <w:pgSz w:w="12240" w:h="15840"/>
      <w:pgMar w:top="6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59D"/>
    <w:multiLevelType w:val="hybridMultilevel"/>
    <w:tmpl w:val="3C501606"/>
    <w:lvl w:ilvl="0" w:tplc="633C9144">
      <w:start w:val="1"/>
      <w:numFmt w:val="bullet"/>
      <w:lvlText w:val=""/>
      <w:lvlJc w:val="left"/>
      <w:pPr>
        <w:ind w:left="460" w:hanging="360"/>
      </w:pPr>
      <w:rPr>
        <w:rFonts w:ascii="Symbol" w:eastAsia="Symbol" w:hAnsi="Symbol" w:hint="default"/>
        <w:sz w:val="24"/>
        <w:szCs w:val="24"/>
      </w:rPr>
    </w:lvl>
    <w:lvl w:ilvl="1" w:tplc="4AB6ADB2">
      <w:start w:val="1"/>
      <w:numFmt w:val="bullet"/>
      <w:lvlText w:val="•"/>
      <w:lvlJc w:val="left"/>
      <w:pPr>
        <w:ind w:left="1370" w:hanging="360"/>
      </w:pPr>
      <w:rPr>
        <w:rFonts w:hint="default"/>
      </w:rPr>
    </w:lvl>
    <w:lvl w:ilvl="2" w:tplc="0AC6A37E">
      <w:start w:val="1"/>
      <w:numFmt w:val="bullet"/>
      <w:lvlText w:val="•"/>
      <w:lvlJc w:val="left"/>
      <w:pPr>
        <w:ind w:left="2280" w:hanging="360"/>
      </w:pPr>
      <w:rPr>
        <w:rFonts w:hint="default"/>
      </w:rPr>
    </w:lvl>
    <w:lvl w:ilvl="3" w:tplc="A8344DAA">
      <w:start w:val="1"/>
      <w:numFmt w:val="bullet"/>
      <w:lvlText w:val="•"/>
      <w:lvlJc w:val="left"/>
      <w:pPr>
        <w:ind w:left="3190" w:hanging="360"/>
      </w:pPr>
      <w:rPr>
        <w:rFonts w:hint="default"/>
      </w:rPr>
    </w:lvl>
    <w:lvl w:ilvl="4" w:tplc="F872F900">
      <w:start w:val="1"/>
      <w:numFmt w:val="bullet"/>
      <w:lvlText w:val="•"/>
      <w:lvlJc w:val="left"/>
      <w:pPr>
        <w:ind w:left="4100" w:hanging="360"/>
      </w:pPr>
      <w:rPr>
        <w:rFonts w:hint="default"/>
      </w:rPr>
    </w:lvl>
    <w:lvl w:ilvl="5" w:tplc="0DBE9432">
      <w:start w:val="1"/>
      <w:numFmt w:val="bullet"/>
      <w:lvlText w:val="•"/>
      <w:lvlJc w:val="left"/>
      <w:pPr>
        <w:ind w:left="5010" w:hanging="360"/>
      </w:pPr>
      <w:rPr>
        <w:rFonts w:hint="default"/>
      </w:rPr>
    </w:lvl>
    <w:lvl w:ilvl="6" w:tplc="AE56A06C">
      <w:start w:val="1"/>
      <w:numFmt w:val="bullet"/>
      <w:lvlText w:val="•"/>
      <w:lvlJc w:val="left"/>
      <w:pPr>
        <w:ind w:left="5920" w:hanging="360"/>
      </w:pPr>
      <w:rPr>
        <w:rFonts w:hint="default"/>
      </w:rPr>
    </w:lvl>
    <w:lvl w:ilvl="7" w:tplc="C2BA0A9A">
      <w:start w:val="1"/>
      <w:numFmt w:val="bullet"/>
      <w:lvlText w:val="•"/>
      <w:lvlJc w:val="left"/>
      <w:pPr>
        <w:ind w:left="6830" w:hanging="360"/>
      </w:pPr>
      <w:rPr>
        <w:rFonts w:hint="default"/>
      </w:rPr>
    </w:lvl>
    <w:lvl w:ilvl="8" w:tplc="06FEBED0">
      <w:start w:val="1"/>
      <w:numFmt w:val="bullet"/>
      <w:lvlText w:val="•"/>
      <w:lvlJc w:val="left"/>
      <w:pPr>
        <w:ind w:left="7740" w:hanging="360"/>
      </w:pPr>
      <w:rPr>
        <w:rFonts w:hint="default"/>
      </w:rPr>
    </w:lvl>
  </w:abstractNum>
  <w:abstractNum w:abstractNumId="1" w15:restartNumberingAfterBreak="0">
    <w:nsid w:val="458B19C8"/>
    <w:multiLevelType w:val="hybridMultilevel"/>
    <w:tmpl w:val="97E83326"/>
    <w:lvl w:ilvl="0" w:tplc="C31EE7E0">
      <w:start w:val="1"/>
      <w:numFmt w:val="bullet"/>
      <w:lvlText w:val=""/>
      <w:lvlJc w:val="left"/>
      <w:pPr>
        <w:ind w:left="460" w:hanging="360"/>
      </w:pPr>
      <w:rPr>
        <w:rFonts w:ascii="Symbol" w:eastAsia="Symbol" w:hAnsi="Symbol" w:hint="default"/>
        <w:w w:val="99"/>
        <w:sz w:val="20"/>
        <w:szCs w:val="20"/>
      </w:rPr>
    </w:lvl>
    <w:lvl w:ilvl="1" w:tplc="02748A88">
      <w:start w:val="1"/>
      <w:numFmt w:val="bullet"/>
      <w:lvlText w:val="•"/>
      <w:lvlJc w:val="left"/>
      <w:pPr>
        <w:ind w:left="1372" w:hanging="360"/>
      </w:pPr>
      <w:rPr>
        <w:rFonts w:hint="default"/>
      </w:rPr>
    </w:lvl>
    <w:lvl w:ilvl="2" w:tplc="0C94CF0A">
      <w:start w:val="1"/>
      <w:numFmt w:val="bullet"/>
      <w:lvlText w:val="•"/>
      <w:lvlJc w:val="left"/>
      <w:pPr>
        <w:ind w:left="2284" w:hanging="360"/>
      </w:pPr>
      <w:rPr>
        <w:rFonts w:hint="default"/>
      </w:rPr>
    </w:lvl>
    <w:lvl w:ilvl="3" w:tplc="69DA3C06">
      <w:start w:val="1"/>
      <w:numFmt w:val="bullet"/>
      <w:lvlText w:val="•"/>
      <w:lvlJc w:val="left"/>
      <w:pPr>
        <w:ind w:left="3196" w:hanging="360"/>
      </w:pPr>
      <w:rPr>
        <w:rFonts w:hint="default"/>
      </w:rPr>
    </w:lvl>
    <w:lvl w:ilvl="4" w:tplc="2BC23822">
      <w:start w:val="1"/>
      <w:numFmt w:val="bullet"/>
      <w:lvlText w:val="•"/>
      <w:lvlJc w:val="left"/>
      <w:pPr>
        <w:ind w:left="4108" w:hanging="360"/>
      </w:pPr>
      <w:rPr>
        <w:rFonts w:hint="default"/>
      </w:rPr>
    </w:lvl>
    <w:lvl w:ilvl="5" w:tplc="FD12357E">
      <w:start w:val="1"/>
      <w:numFmt w:val="bullet"/>
      <w:lvlText w:val="•"/>
      <w:lvlJc w:val="left"/>
      <w:pPr>
        <w:ind w:left="5020" w:hanging="360"/>
      </w:pPr>
      <w:rPr>
        <w:rFonts w:hint="default"/>
      </w:rPr>
    </w:lvl>
    <w:lvl w:ilvl="6" w:tplc="92E87670">
      <w:start w:val="1"/>
      <w:numFmt w:val="bullet"/>
      <w:lvlText w:val="•"/>
      <w:lvlJc w:val="left"/>
      <w:pPr>
        <w:ind w:left="5932" w:hanging="360"/>
      </w:pPr>
      <w:rPr>
        <w:rFonts w:hint="default"/>
      </w:rPr>
    </w:lvl>
    <w:lvl w:ilvl="7" w:tplc="44A61E78">
      <w:start w:val="1"/>
      <w:numFmt w:val="bullet"/>
      <w:lvlText w:val="•"/>
      <w:lvlJc w:val="left"/>
      <w:pPr>
        <w:ind w:left="6844" w:hanging="360"/>
      </w:pPr>
      <w:rPr>
        <w:rFonts w:hint="default"/>
      </w:rPr>
    </w:lvl>
    <w:lvl w:ilvl="8" w:tplc="6B507D58">
      <w:start w:val="1"/>
      <w:numFmt w:val="bullet"/>
      <w:lvlText w:val="•"/>
      <w:lvlJc w:val="left"/>
      <w:pPr>
        <w:ind w:left="775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9C"/>
    <w:rsid w:val="000277F2"/>
    <w:rsid w:val="00345F72"/>
    <w:rsid w:val="003B589C"/>
    <w:rsid w:val="00B8538A"/>
    <w:rsid w:val="00C64887"/>
    <w:rsid w:val="00E81A43"/>
    <w:rsid w:val="00FF1B68"/>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FDBD"/>
  <w15:docId w15:val="{AB8A0FB9-74BA-42A0-8D56-7816B35D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4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FFA7BB1FB6745BE043198327055EC" ma:contentTypeVersion="2" ma:contentTypeDescription="Create a new document." ma:contentTypeScope="" ma:versionID="1cf4029f28375ae3e99dce07d2843223">
  <xsd:schema xmlns:xsd="http://www.w3.org/2001/XMLSchema" xmlns:xs="http://www.w3.org/2001/XMLSchema" xmlns:p="http://schemas.microsoft.com/office/2006/metadata/properties" xmlns:ns3="479a6be9-8853-45f5-ae63-ab74f4324096" targetNamespace="http://schemas.microsoft.com/office/2006/metadata/properties" ma:root="true" ma:fieldsID="6d10e0a040f044909337591fe5ed5bae" ns3:_="">
    <xsd:import namespace="479a6be9-8853-45f5-ae63-ab74f432409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a6be9-8853-45f5-ae63-ab74f4324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1F9B9-956A-4D0E-A2F5-790A35903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a6be9-8853-45f5-ae63-ab74f4324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2546E-D3A0-450B-BA33-B980397251B4}">
  <ds:schemaRefs>
    <ds:schemaRef ds:uri="http://schemas.microsoft.com/sharepoint/v3/contenttype/forms"/>
  </ds:schemaRefs>
</ds:datastoreItem>
</file>

<file path=customXml/itemProps3.xml><?xml version="1.0" encoding="utf-8"?>
<ds:datastoreItem xmlns:ds="http://schemas.openxmlformats.org/officeDocument/2006/customXml" ds:itemID="{D7429F9D-D087-4F07-A3D7-11AE10BC49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Brewer</dc:creator>
  <cp:lastModifiedBy>Rene, Magalita</cp:lastModifiedBy>
  <cp:revision>2</cp:revision>
  <dcterms:created xsi:type="dcterms:W3CDTF">2021-03-12T19:51:00Z</dcterms:created>
  <dcterms:modified xsi:type="dcterms:W3CDTF">2021-03-12T19:51:00Z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LastSaved">
    <vt:filetime>2021-02-24T00:00:00Z</vt:filetime>
  </property>
  <property fmtid="{D5CDD505-2E9C-101B-9397-08002B2CF9AE}" pid="4" name="ContentTypeId">
    <vt:lpwstr>0x0101005AFFFA7BB1FB6745BE043198327055EC</vt:lpwstr>
  </property>
</Properties>
</file>