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7247E" w14:textId="77777777" w:rsidR="00952DC6" w:rsidRPr="00952DC6" w:rsidRDefault="00952DC6" w:rsidP="00952DC6">
      <w:pPr>
        <w:spacing w:before="100" w:beforeAutospacing="1" w:after="100" w:afterAutospacing="1"/>
        <w:jc w:val="center"/>
        <w:outlineLvl w:val="0"/>
        <w:rPr>
          <w:b/>
          <w:bCs/>
          <w:kern w:val="36"/>
          <w:sz w:val="48"/>
          <w:szCs w:val="48"/>
        </w:rPr>
      </w:pPr>
      <w:r w:rsidRPr="00952DC6">
        <w:rPr>
          <w:b/>
          <w:bCs/>
          <w:noProof/>
          <w:kern w:val="36"/>
          <w:sz w:val="48"/>
          <w:szCs w:val="48"/>
        </w:rPr>
        <w:drawing>
          <wp:inline distT="0" distB="0" distL="0" distR="0" wp14:anchorId="013F7F1A" wp14:editId="7BFBB254">
            <wp:extent cx="4762500" cy="1333500"/>
            <wp:effectExtent l="0" t="0" r="0" b="0"/>
            <wp:docPr id="2" name="Picture 2" descr="https://pageup-storage-uat-public-us.s3.amazonaws.com/873/ProviderAsset/47865146-1fa1-47fc-9cc9-eae30d5be086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geup-storage-uat-public-us.s3.amazonaws.com/873/ProviderAsset/47865146-1fa1-47fc-9cc9-eae30d5be086_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333500"/>
                    </a:xfrm>
                    <a:prstGeom prst="rect">
                      <a:avLst/>
                    </a:prstGeom>
                    <a:noFill/>
                    <a:ln>
                      <a:noFill/>
                    </a:ln>
                  </pic:spPr>
                </pic:pic>
              </a:graphicData>
            </a:graphic>
          </wp:inline>
        </w:drawing>
      </w:r>
    </w:p>
    <w:p w14:paraId="7F7FA19A" w14:textId="39D29EFF" w:rsidR="00952DC6" w:rsidRPr="00952DC6" w:rsidRDefault="00952DC6" w:rsidP="00952DC6">
      <w:pPr>
        <w:spacing w:before="100" w:beforeAutospacing="1" w:after="100" w:afterAutospacing="1"/>
      </w:pPr>
      <w:r w:rsidRPr="00952DC6">
        <w:rPr>
          <w:b/>
          <w:bCs/>
        </w:rPr>
        <w:t>COLLEGE:</w:t>
      </w:r>
      <w:r w:rsidR="008B0DD3">
        <w:rPr>
          <w:b/>
          <w:bCs/>
        </w:rPr>
        <w:t xml:space="preserve"> </w:t>
      </w:r>
      <w:r w:rsidR="008B0DD3" w:rsidRPr="008B0DD3">
        <w:t>College of Engineering and Computer Science</w:t>
      </w:r>
    </w:p>
    <w:p w14:paraId="5E679B1D" w14:textId="73592400" w:rsidR="00952DC6" w:rsidRPr="00952DC6" w:rsidRDefault="00952DC6" w:rsidP="00952DC6">
      <w:pPr>
        <w:spacing w:before="100" w:beforeAutospacing="1" w:after="100" w:afterAutospacing="1"/>
      </w:pPr>
      <w:r w:rsidRPr="00952DC6">
        <w:rPr>
          <w:b/>
          <w:bCs/>
        </w:rPr>
        <w:t>DEPARTMENT:</w:t>
      </w:r>
      <w:r w:rsidR="008B0DD3">
        <w:rPr>
          <w:b/>
          <w:bCs/>
        </w:rPr>
        <w:t xml:space="preserve"> </w:t>
      </w:r>
      <w:r w:rsidR="00181F63" w:rsidRPr="00181F63">
        <w:t>Mechanical Engineering</w:t>
      </w:r>
    </w:p>
    <w:p w14:paraId="47B67F47" w14:textId="082BD1E0" w:rsidR="00952DC6" w:rsidRPr="00952DC6" w:rsidRDefault="00952DC6" w:rsidP="00952DC6">
      <w:pPr>
        <w:spacing w:before="100" w:beforeAutospacing="1" w:after="100" w:afterAutospacing="1"/>
      </w:pPr>
      <w:r w:rsidRPr="00952DC6">
        <w:rPr>
          <w:b/>
          <w:bCs/>
        </w:rPr>
        <w:t>POSITION TITLE:</w:t>
      </w:r>
      <w:r w:rsidR="00181F63">
        <w:rPr>
          <w:b/>
          <w:bCs/>
        </w:rPr>
        <w:t xml:space="preserve"> </w:t>
      </w:r>
      <w:r w:rsidR="00181F63" w:rsidRPr="00181F63">
        <w:t>Tenure-</w:t>
      </w:r>
      <w:r w:rsidR="00D54296">
        <w:t>T</w:t>
      </w:r>
      <w:r w:rsidR="00181F63" w:rsidRPr="00181F63">
        <w:t xml:space="preserve">rack </w:t>
      </w:r>
      <w:r w:rsidR="00C0737C">
        <w:t xml:space="preserve">Assistant </w:t>
      </w:r>
      <w:r w:rsidR="006D22B7">
        <w:t xml:space="preserve">or Associate </w:t>
      </w:r>
      <w:r w:rsidR="00C0737C">
        <w:t>Professor</w:t>
      </w:r>
      <w:r w:rsidR="00181F63" w:rsidRPr="00181F63">
        <w:t xml:space="preserve"> </w:t>
      </w:r>
      <w:r w:rsidR="00D54296">
        <w:t>P</w:t>
      </w:r>
      <w:r w:rsidR="00181F63" w:rsidRPr="00181F63">
        <w:t xml:space="preserve">osition in </w:t>
      </w:r>
      <w:r w:rsidR="00974355">
        <w:t>Sustainable Energy and Thermal</w:t>
      </w:r>
      <w:r w:rsidR="0084744B">
        <w:t>-f</w:t>
      </w:r>
      <w:r w:rsidR="00974355">
        <w:t>luid Sciences</w:t>
      </w:r>
    </w:p>
    <w:p w14:paraId="3F3D952B" w14:textId="1E5045BB" w:rsidR="00952DC6" w:rsidRDefault="00952DC6" w:rsidP="00952DC6">
      <w:pPr>
        <w:spacing w:before="100" w:beforeAutospacing="1" w:after="240"/>
        <w:rPr>
          <w:b/>
          <w:bCs/>
        </w:rPr>
      </w:pPr>
      <w:r w:rsidRPr="00952DC6">
        <w:rPr>
          <w:b/>
          <w:bCs/>
        </w:rPr>
        <w:t>DEPARTMENT SUMMARY:</w:t>
      </w:r>
    </w:p>
    <w:p w14:paraId="400EFB11" w14:textId="36255778" w:rsidR="003773B2" w:rsidRDefault="0084744B" w:rsidP="00952DC6">
      <w:pPr>
        <w:spacing w:before="100" w:beforeAutospacing="1" w:after="240"/>
        <w:rPr>
          <w:b/>
          <w:bCs/>
        </w:rPr>
      </w:pPr>
      <w:bookmarkStart w:id="0" w:name="_Hlk174451608"/>
      <w:r w:rsidRPr="0084744B">
        <w:t xml:space="preserve">The Mechanical Engineering Department invites applications for a tenure-track position in the area of Sustainable Energy and Thermal-fluid Sciences at the Assistant or Associate Professor rank.  </w:t>
      </w:r>
      <w:r w:rsidR="00FB70D0" w:rsidRPr="00AC466A">
        <w:t xml:space="preserve">The Mechanical Engineering department serves more than </w:t>
      </w:r>
      <w:r w:rsidR="00BA54D8" w:rsidRPr="00AC466A">
        <w:t>8</w:t>
      </w:r>
      <w:r w:rsidR="005E043E" w:rsidRPr="00AC466A">
        <w:t>50</w:t>
      </w:r>
      <w:r w:rsidR="00FB70D0" w:rsidRPr="00AC466A">
        <w:t xml:space="preserve"> undergraduate students and more than </w:t>
      </w:r>
      <w:r w:rsidR="005E043E" w:rsidRPr="00AC466A">
        <w:t>4</w:t>
      </w:r>
      <w:r w:rsidR="00FB70D0" w:rsidRPr="00AC466A">
        <w:t xml:space="preserve">0 graduate students, which </w:t>
      </w:r>
      <w:r w:rsidR="00FB70D0" w:rsidRPr="00EA1501">
        <w:t xml:space="preserve">includes </w:t>
      </w:r>
      <w:r w:rsidR="00AC466A" w:rsidRPr="00EA1501">
        <w:t>~</w:t>
      </w:r>
      <w:r w:rsidR="00C852FE" w:rsidRPr="00EA1501">
        <w:t>7</w:t>
      </w:r>
      <w:r w:rsidR="00292884" w:rsidRPr="00EA1501">
        <w:t>5</w:t>
      </w:r>
      <w:r w:rsidR="00FB70D0" w:rsidRPr="00EA1501">
        <w:t xml:space="preserve"> percent </w:t>
      </w:r>
      <w:r w:rsidR="004B119E" w:rsidRPr="00EA1501">
        <w:t xml:space="preserve">students </w:t>
      </w:r>
      <w:r w:rsidR="00FB70D0" w:rsidRPr="00EA1501">
        <w:t xml:space="preserve">of color and </w:t>
      </w:r>
      <w:r w:rsidR="00292884" w:rsidRPr="00EA1501">
        <w:t>5</w:t>
      </w:r>
      <w:r w:rsidR="00FB70D0" w:rsidRPr="00EA1501">
        <w:t xml:space="preserve"> percent international students.  The</w:t>
      </w:r>
      <w:r w:rsidR="00FB70D0" w:rsidRPr="00AC466A">
        <w:t xml:space="preserve"> department offers Bachelor of Science and Master of Science degree programs in Mechanical Engineering. These programs emphasize applications of engineering principles in the areas of mechanical design, dynamic systems and control</w:t>
      </w:r>
      <w:r w:rsidR="004B119E" w:rsidRPr="00AC466A">
        <w:t>s</w:t>
      </w:r>
      <w:r w:rsidR="00FB70D0" w:rsidRPr="00AC466A">
        <w:t>, manufacturing, materials science, aerospace, energy, and thermal sciences.</w:t>
      </w:r>
      <w:bookmarkStart w:id="1" w:name="_Hlk181184899"/>
      <w:r w:rsidR="00032731">
        <w:t xml:space="preserve">  </w:t>
      </w:r>
      <w:bookmarkStart w:id="2" w:name="_Hlk181185052"/>
      <w:r w:rsidR="00032731" w:rsidRPr="00032731">
        <w:t xml:space="preserve">The undergraduate </w:t>
      </w:r>
      <w:r w:rsidR="00032731">
        <w:t>ME</w:t>
      </w:r>
      <w:r w:rsidR="00032731" w:rsidRPr="00032731">
        <w:t xml:space="preserve"> program </w:t>
      </w:r>
      <w:r w:rsidR="00032731">
        <w:t>is</w:t>
      </w:r>
      <w:r w:rsidR="00032731" w:rsidRPr="00032731">
        <w:t xml:space="preserve"> accredited by ABET.</w:t>
      </w:r>
      <w:r w:rsidR="005C3C6F">
        <w:t xml:space="preserve"> </w:t>
      </w:r>
    </w:p>
    <w:bookmarkEnd w:id="0"/>
    <w:bookmarkEnd w:id="1"/>
    <w:bookmarkEnd w:id="2"/>
    <w:p w14:paraId="38906C50" w14:textId="77777777" w:rsidR="00952DC6" w:rsidRPr="00952DC6" w:rsidRDefault="00952DC6" w:rsidP="00952DC6">
      <w:pPr>
        <w:spacing w:before="100" w:beforeAutospacing="1" w:after="100" w:afterAutospacing="1"/>
      </w:pPr>
      <w:r w:rsidRPr="00952DC6">
        <w:rPr>
          <w:b/>
          <w:bCs/>
        </w:rPr>
        <w:t>POSITION DETAILS:</w:t>
      </w:r>
    </w:p>
    <w:p w14:paraId="673EB360" w14:textId="6ACBB350" w:rsidR="00030161" w:rsidRDefault="00030161" w:rsidP="00030161">
      <w:pPr>
        <w:spacing w:before="100" w:beforeAutospacing="1" w:after="240"/>
      </w:pPr>
      <w:r w:rsidRPr="00D90781">
        <w:t xml:space="preserve">The Mechanical Engineering Department invites applications for a tenure-track </w:t>
      </w:r>
      <w:r w:rsidR="00E65AE8">
        <w:t xml:space="preserve">Assistant </w:t>
      </w:r>
      <w:r w:rsidR="0084744B">
        <w:t xml:space="preserve">or Associate </w:t>
      </w:r>
      <w:r w:rsidR="00E65AE8">
        <w:t>Profess</w:t>
      </w:r>
      <w:r w:rsidR="00826B47">
        <w:t xml:space="preserve">or </w:t>
      </w:r>
      <w:r w:rsidRPr="00D90781">
        <w:t>position</w:t>
      </w:r>
      <w:r w:rsidR="00826B47">
        <w:t xml:space="preserve"> </w:t>
      </w:r>
      <w:r w:rsidR="00826B47" w:rsidRPr="00826B47">
        <w:t xml:space="preserve">in the area of </w:t>
      </w:r>
      <w:r w:rsidR="00EA1501">
        <w:t>Thermal-fluid Sciences</w:t>
      </w:r>
      <w:r w:rsidR="0047676F">
        <w:t xml:space="preserve"> </w:t>
      </w:r>
      <w:r w:rsidR="00826B47">
        <w:t>beginning Fall 2025.</w:t>
      </w:r>
    </w:p>
    <w:p w14:paraId="34DBA683" w14:textId="5D6D511B" w:rsidR="00032731" w:rsidRDefault="00032731" w:rsidP="00EE4AE0">
      <w:pPr>
        <w:spacing w:before="100" w:beforeAutospacing="1" w:after="240"/>
      </w:pPr>
      <w:bookmarkStart w:id="3" w:name="_Hlk181185070"/>
      <w:r w:rsidRPr="00032731">
        <w:t xml:space="preserve">The estimated salary range for this position is $97,000 - $115,750, with an anticipated annual salary of $102,500 (if hired as Assistant Professor) or </w:t>
      </w:r>
      <w:r w:rsidR="003A042C" w:rsidRPr="00032731">
        <w:t>$</w:t>
      </w:r>
      <w:r w:rsidR="003A042C">
        <w:t>105</w:t>
      </w:r>
      <w:r w:rsidR="003A042C" w:rsidRPr="00032731">
        <w:t>,</w:t>
      </w:r>
      <w:r w:rsidR="003A042C">
        <w:t>75</w:t>
      </w:r>
      <w:r w:rsidR="003A042C" w:rsidRPr="00032731">
        <w:t>0 - $1</w:t>
      </w:r>
      <w:r w:rsidR="003A042C">
        <w:t>26</w:t>
      </w:r>
      <w:r w:rsidR="003A042C" w:rsidRPr="00032731">
        <w:t>,</w:t>
      </w:r>
      <w:r w:rsidR="003A042C">
        <w:t>00</w:t>
      </w:r>
      <w:r w:rsidR="003A042C" w:rsidRPr="00032731">
        <w:t xml:space="preserve">, with an anticipated annual salary of </w:t>
      </w:r>
      <w:r w:rsidRPr="00032731">
        <w:t>$1</w:t>
      </w:r>
      <w:r w:rsidR="003A042C">
        <w:t>11</w:t>
      </w:r>
      <w:r w:rsidRPr="00032731">
        <w:t>,750 (if hired as Associate Professor) depending upon qualifications and experience.</w:t>
      </w:r>
      <w:bookmarkEnd w:id="3"/>
    </w:p>
    <w:p w14:paraId="49CB116B" w14:textId="2C6A2649" w:rsidR="00826B47" w:rsidRDefault="00EE4AE0" w:rsidP="00EE4AE0">
      <w:pPr>
        <w:spacing w:before="100" w:beforeAutospacing="1" w:after="240"/>
      </w:pPr>
      <w:r>
        <w:t xml:space="preserve">As a Hispanic Serving Institution (HSI) and awardee of the Seal of </w:t>
      </w:r>
      <w:proofErr w:type="spellStart"/>
      <w:r>
        <w:t>Excelencia</w:t>
      </w:r>
      <w:proofErr w:type="spellEnd"/>
      <w:r>
        <w:t xml:space="preserve"> certification, Sacramento State is hiring a cohort of faculty who will support our commitment to Latinx/e student success during the 2024-25 tenure-track hiring cycle. We are looking for teacher/scholars who have an established commitment to teaching, research, and/or service in and with the Latinx/e community. Successful candidates will have demonstrated two or more of the four Latinx/e Student Success Cohort Hire criteria (see Required Qualifications below).</w:t>
      </w:r>
    </w:p>
    <w:p w14:paraId="3CC9FFBE" w14:textId="77777777" w:rsidR="00952DC6" w:rsidRPr="00952DC6" w:rsidRDefault="00952DC6" w:rsidP="00952DC6">
      <w:pPr>
        <w:spacing w:before="100" w:beforeAutospacing="1" w:after="100" w:afterAutospacing="1"/>
      </w:pPr>
      <w:r w:rsidRPr="00952DC6">
        <w:rPr>
          <w:b/>
          <w:bCs/>
        </w:rPr>
        <w:t>JOB DUTIES:</w:t>
      </w:r>
    </w:p>
    <w:p w14:paraId="49FCF055" w14:textId="77777777" w:rsidR="00AC4ADD" w:rsidRPr="00AC4ADD" w:rsidRDefault="00AC4ADD" w:rsidP="00B97C63">
      <w:pPr>
        <w:pStyle w:val="paragraph"/>
        <w:numPr>
          <w:ilvl w:val="0"/>
          <w:numId w:val="26"/>
        </w:numPr>
        <w:spacing w:before="0" w:beforeAutospacing="0" w:after="0" w:afterAutospacing="0"/>
        <w:textAlignment w:val="baseline"/>
      </w:pPr>
      <w:r w:rsidRPr="00AC4ADD">
        <w:rPr>
          <w:rStyle w:val="normaltextrun"/>
        </w:rPr>
        <w:t>Teaching undergraduate and graduate courses and laboratories </w:t>
      </w:r>
      <w:r w:rsidRPr="00AC4ADD">
        <w:rPr>
          <w:rStyle w:val="eop"/>
        </w:rPr>
        <w:t> </w:t>
      </w:r>
    </w:p>
    <w:p w14:paraId="079CB856" w14:textId="77777777" w:rsidR="00AC4ADD" w:rsidRPr="00AC4ADD" w:rsidRDefault="00AC4ADD" w:rsidP="00B97C63">
      <w:pPr>
        <w:pStyle w:val="paragraph"/>
        <w:numPr>
          <w:ilvl w:val="0"/>
          <w:numId w:val="26"/>
        </w:numPr>
        <w:spacing w:before="0" w:beforeAutospacing="0" w:after="0" w:afterAutospacing="0"/>
        <w:textAlignment w:val="baseline"/>
      </w:pPr>
      <w:r w:rsidRPr="00AC4ADD">
        <w:rPr>
          <w:rStyle w:val="normaltextrun"/>
        </w:rPr>
        <w:t>Developing curriculum, advising students and other instructionally-related duties </w:t>
      </w:r>
      <w:r w:rsidRPr="00AC4ADD">
        <w:rPr>
          <w:rStyle w:val="eop"/>
        </w:rPr>
        <w:t> </w:t>
      </w:r>
    </w:p>
    <w:p w14:paraId="351B0056" w14:textId="39368A45" w:rsidR="00AC4ADD" w:rsidRPr="00AC4ADD" w:rsidRDefault="00AC4ADD" w:rsidP="00B97C63">
      <w:pPr>
        <w:pStyle w:val="paragraph"/>
        <w:numPr>
          <w:ilvl w:val="0"/>
          <w:numId w:val="26"/>
        </w:numPr>
        <w:spacing w:before="0" w:beforeAutospacing="0" w:after="0" w:afterAutospacing="0"/>
        <w:textAlignment w:val="baseline"/>
      </w:pPr>
      <w:bookmarkStart w:id="4" w:name="_Hlk181186579"/>
      <w:r w:rsidRPr="00AC4ADD">
        <w:rPr>
          <w:rStyle w:val="normaltextrun"/>
        </w:rPr>
        <w:t>Working cooperatively with a diverse student population and with faculty colleagues on department, college and university-wide committees </w:t>
      </w:r>
      <w:r w:rsidRPr="00AC4ADD">
        <w:rPr>
          <w:rStyle w:val="eop"/>
        </w:rPr>
        <w:t> </w:t>
      </w:r>
    </w:p>
    <w:bookmarkEnd w:id="4"/>
    <w:p w14:paraId="67E8B643" w14:textId="18EBD3A6" w:rsidR="00AC4ADD" w:rsidRPr="00AC4ADD" w:rsidRDefault="00AC4ADD" w:rsidP="00B97C63">
      <w:pPr>
        <w:pStyle w:val="paragraph"/>
        <w:numPr>
          <w:ilvl w:val="0"/>
          <w:numId w:val="26"/>
        </w:numPr>
        <w:spacing w:before="0" w:beforeAutospacing="0" w:after="0" w:afterAutospacing="0"/>
        <w:textAlignment w:val="baseline"/>
      </w:pPr>
      <w:r w:rsidRPr="00AC4ADD">
        <w:rPr>
          <w:rStyle w:val="normaltextrun"/>
        </w:rPr>
        <w:t xml:space="preserve">Engaging in scholarly </w:t>
      </w:r>
      <w:r w:rsidR="005257FE">
        <w:rPr>
          <w:rStyle w:val="normaltextrun"/>
        </w:rPr>
        <w:t xml:space="preserve">and creative </w:t>
      </w:r>
      <w:r w:rsidRPr="00AC4ADD">
        <w:rPr>
          <w:rStyle w:val="normaltextrun"/>
        </w:rPr>
        <w:t>activities</w:t>
      </w:r>
    </w:p>
    <w:p w14:paraId="65A50C11" w14:textId="25593368" w:rsidR="00AC4ADD" w:rsidRPr="00AC4ADD" w:rsidRDefault="00AC4ADD" w:rsidP="00B97C63">
      <w:pPr>
        <w:pStyle w:val="paragraph"/>
        <w:numPr>
          <w:ilvl w:val="0"/>
          <w:numId w:val="26"/>
        </w:numPr>
        <w:spacing w:before="0" w:beforeAutospacing="0" w:after="0" w:afterAutospacing="0"/>
        <w:textAlignment w:val="baseline"/>
      </w:pPr>
      <w:r w:rsidRPr="00AC4ADD">
        <w:rPr>
          <w:rStyle w:val="normaltextrun"/>
        </w:rPr>
        <w:t xml:space="preserve">Supervising </w:t>
      </w:r>
      <w:r w:rsidR="00831C67">
        <w:rPr>
          <w:rStyle w:val="normaltextrun"/>
        </w:rPr>
        <w:t xml:space="preserve">undergraduate and graduate </w:t>
      </w:r>
      <w:r w:rsidRPr="00AC4ADD">
        <w:rPr>
          <w:rStyle w:val="normaltextrun"/>
        </w:rPr>
        <w:t>student research </w:t>
      </w:r>
      <w:r w:rsidRPr="00AC4ADD">
        <w:rPr>
          <w:rStyle w:val="eop"/>
        </w:rPr>
        <w:t> </w:t>
      </w:r>
    </w:p>
    <w:p w14:paraId="07CCDF51" w14:textId="77777777" w:rsidR="00AC4ADD" w:rsidRDefault="00AC4ADD" w:rsidP="00B97C63">
      <w:pPr>
        <w:pStyle w:val="paragraph"/>
        <w:numPr>
          <w:ilvl w:val="0"/>
          <w:numId w:val="26"/>
        </w:numPr>
        <w:spacing w:before="0" w:beforeAutospacing="0" w:after="0" w:afterAutospacing="0"/>
        <w:textAlignment w:val="baseline"/>
        <w:rPr>
          <w:rStyle w:val="eop"/>
        </w:rPr>
      </w:pPr>
      <w:r w:rsidRPr="00AC4ADD">
        <w:rPr>
          <w:rStyle w:val="normaltextrun"/>
        </w:rPr>
        <w:t>Providing service to the campus and community</w:t>
      </w:r>
      <w:r w:rsidRPr="00AC4ADD">
        <w:rPr>
          <w:rStyle w:val="eop"/>
        </w:rPr>
        <w:t> </w:t>
      </w:r>
    </w:p>
    <w:p w14:paraId="456F0A31" w14:textId="3FF73B31" w:rsidR="00526AA8" w:rsidRPr="00AC4ADD" w:rsidRDefault="00526AA8" w:rsidP="00526AA8">
      <w:pPr>
        <w:pStyle w:val="ListParagraph"/>
        <w:numPr>
          <w:ilvl w:val="0"/>
          <w:numId w:val="26"/>
        </w:numPr>
      </w:pPr>
      <w:r w:rsidRPr="00526AA8">
        <w:lastRenderedPageBreak/>
        <w:t>Teaching that fosters inclusive and equitable student success</w:t>
      </w:r>
    </w:p>
    <w:p w14:paraId="365EA64C" w14:textId="77777777" w:rsidR="00952DC6" w:rsidRPr="00952DC6" w:rsidRDefault="00952DC6" w:rsidP="00952DC6">
      <w:pPr>
        <w:spacing w:before="100" w:beforeAutospacing="1" w:after="100" w:afterAutospacing="1"/>
      </w:pPr>
      <w:r w:rsidRPr="00952DC6">
        <w:rPr>
          <w:b/>
          <w:bCs/>
        </w:rPr>
        <w:t>REQUIRED QUALIFICATIONS:</w:t>
      </w:r>
    </w:p>
    <w:p w14:paraId="36854C7F" w14:textId="2FF47B43" w:rsidR="002F425B" w:rsidRPr="007210D5" w:rsidRDefault="002F425B" w:rsidP="002F425B">
      <w:pPr>
        <w:pStyle w:val="ListParagraph"/>
        <w:numPr>
          <w:ilvl w:val="0"/>
          <w:numId w:val="28"/>
        </w:numPr>
      </w:pPr>
      <w:r w:rsidRPr="0046772F">
        <w:t xml:space="preserve">Ph.D. in </w:t>
      </w:r>
      <w:r w:rsidR="00164566" w:rsidRPr="00164566">
        <w:t>Mechanical Engineering, or a closely related field</w:t>
      </w:r>
      <w:r w:rsidRPr="0046772F">
        <w:t>.  Ph.D. must be completed by August, 20</w:t>
      </w:r>
      <w:r>
        <w:t>25</w:t>
      </w:r>
      <w:r w:rsidRPr="0046772F">
        <w:t>.</w:t>
      </w:r>
      <w:r>
        <w:t xml:space="preserve"> </w:t>
      </w:r>
    </w:p>
    <w:p w14:paraId="3696A724" w14:textId="0AC4566E" w:rsidR="0039634C" w:rsidRDefault="0039634C" w:rsidP="0039634C">
      <w:pPr>
        <w:pStyle w:val="ListParagraph"/>
        <w:numPr>
          <w:ilvl w:val="0"/>
          <w:numId w:val="28"/>
        </w:numPr>
      </w:pPr>
      <w:r>
        <w:t>A strong background in thermal-fluid sciences</w:t>
      </w:r>
    </w:p>
    <w:p w14:paraId="596309DC" w14:textId="77777777" w:rsidR="0039634C" w:rsidRDefault="0039634C" w:rsidP="0039634C">
      <w:pPr>
        <w:pStyle w:val="ListParagraph"/>
        <w:numPr>
          <w:ilvl w:val="0"/>
          <w:numId w:val="28"/>
        </w:numPr>
      </w:pPr>
      <w:r>
        <w:t>A strong background in sustainable/renewable energy</w:t>
      </w:r>
    </w:p>
    <w:p w14:paraId="477E30D6" w14:textId="77777777" w:rsidR="0039634C" w:rsidRPr="00C5361A" w:rsidRDefault="0039634C" w:rsidP="0039634C">
      <w:pPr>
        <w:pStyle w:val="ListParagraph"/>
        <w:numPr>
          <w:ilvl w:val="0"/>
          <w:numId w:val="28"/>
        </w:numPr>
      </w:pPr>
      <w:r w:rsidRPr="00C5361A">
        <w:t>A strong commitment to quality teaching</w:t>
      </w:r>
    </w:p>
    <w:p w14:paraId="4F245B81" w14:textId="77777777" w:rsidR="0039634C" w:rsidRDefault="0039634C" w:rsidP="0039634C">
      <w:pPr>
        <w:pStyle w:val="ListParagraph"/>
        <w:numPr>
          <w:ilvl w:val="0"/>
          <w:numId w:val="28"/>
        </w:numPr>
      </w:pPr>
      <w:r>
        <w:t>Ability to work with diverse groups</w:t>
      </w:r>
    </w:p>
    <w:p w14:paraId="40D754EE" w14:textId="77777777" w:rsidR="0039634C" w:rsidRDefault="0039634C" w:rsidP="0039634C">
      <w:pPr>
        <w:pStyle w:val="ListParagraph"/>
        <w:numPr>
          <w:ilvl w:val="0"/>
          <w:numId w:val="28"/>
        </w:numPr>
      </w:pPr>
      <w:r>
        <w:t>For consideration at the Associate Professor level, the candidate must have at least five years of university teaching and research experience in ABET accredited programs</w:t>
      </w:r>
    </w:p>
    <w:p w14:paraId="58E10584" w14:textId="77777777" w:rsidR="00AC466A" w:rsidRDefault="00526AA8" w:rsidP="00845C97">
      <w:pPr>
        <w:pStyle w:val="ListParagraph"/>
        <w:numPr>
          <w:ilvl w:val="0"/>
          <w:numId w:val="28"/>
        </w:numPr>
      </w:pPr>
      <w:r w:rsidRPr="00526AA8">
        <w:t>Demonstrated experience (or potential for) working successfully with diverse student populations</w:t>
      </w:r>
      <w:r w:rsidR="00AC466A">
        <w:t xml:space="preserve">.  </w:t>
      </w:r>
    </w:p>
    <w:p w14:paraId="4E8EE91B" w14:textId="2C767E89" w:rsidR="00DD3062" w:rsidRPr="00DD3062" w:rsidRDefault="00DD3062" w:rsidP="00845C97">
      <w:pPr>
        <w:pStyle w:val="ListParagraph"/>
        <w:numPr>
          <w:ilvl w:val="0"/>
          <w:numId w:val="28"/>
        </w:numPr>
      </w:pPr>
      <w:r w:rsidRPr="00DD3062">
        <w:t>Latinx/e Student Success Cohort criteria (demonstrate two or more of the following):</w:t>
      </w:r>
    </w:p>
    <w:p w14:paraId="63227CD4" w14:textId="77777777" w:rsidR="00DF316D" w:rsidRDefault="00DD3062" w:rsidP="00DF316D">
      <w:pPr>
        <w:pStyle w:val="ListParagraph"/>
        <w:numPr>
          <w:ilvl w:val="1"/>
          <w:numId w:val="28"/>
        </w:numPr>
        <w:ind w:left="720"/>
      </w:pPr>
      <w:r w:rsidRPr="00DD3062">
        <w:t>Excellence in teaching Latinx/e students;</w:t>
      </w:r>
    </w:p>
    <w:p w14:paraId="7A6F693D" w14:textId="0F26EB6D" w:rsidR="00DD3062" w:rsidRPr="00DD3062" w:rsidRDefault="00DD3062" w:rsidP="00DF316D">
      <w:pPr>
        <w:pStyle w:val="ListParagraph"/>
        <w:numPr>
          <w:ilvl w:val="1"/>
          <w:numId w:val="28"/>
        </w:numPr>
        <w:ind w:left="720"/>
      </w:pPr>
      <w:r w:rsidRPr="00DD3062">
        <w:t>Effective service (e.g., advising, mentoring) to Latinx/e students;</w:t>
      </w:r>
    </w:p>
    <w:p w14:paraId="1F254C23" w14:textId="47026986" w:rsidR="00DD3062" w:rsidRPr="004D265D" w:rsidRDefault="00DD3062" w:rsidP="00DF316D">
      <w:pPr>
        <w:pStyle w:val="ListParagraph"/>
        <w:numPr>
          <w:ilvl w:val="1"/>
          <w:numId w:val="28"/>
        </w:numPr>
        <w:ind w:left="720"/>
      </w:pPr>
      <w:r w:rsidRPr="004D265D">
        <w:t>Research, scholarship</w:t>
      </w:r>
      <w:r w:rsidR="004D265D" w:rsidRPr="004D265D">
        <w:t xml:space="preserve"> in mechanical engineering or related education to engage with and benefit URM, including Latinx/e, communities</w:t>
      </w:r>
      <w:r w:rsidRPr="004D265D">
        <w:t>;</w:t>
      </w:r>
    </w:p>
    <w:p w14:paraId="74E6A1AB" w14:textId="77777777" w:rsidR="00DD3062" w:rsidRPr="00DD3062" w:rsidRDefault="00DD3062" w:rsidP="00DF316D">
      <w:pPr>
        <w:pStyle w:val="ListParagraph"/>
        <w:numPr>
          <w:ilvl w:val="1"/>
          <w:numId w:val="28"/>
        </w:numPr>
        <w:ind w:left="720"/>
      </w:pPr>
      <w:r w:rsidRPr="00DD3062">
        <w:t>Knowledge (professional background and/or training experiences) that advances our institutional commitment to Latinx/e student success.</w:t>
      </w:r>
    </w:p>
    <w:p w14:paraId="7531FF75" w14:textId="77777777" w:rsidR="00952DC6" w:rsidRDefault="00952DC6" w:rsidP="00952DC6">
      <w:pPr>
        <w:spacing w:before="100" w:beforeAutospacing="1" w:after="100" w:afterAutospacing="1"/>
        <w:rPr>
          <w:b/>
          <w:bCs/>
        </w:rPr>
      </w:pPr>
      <w:r w:rsidRPr="00952DC6">
        <w:rPr>
          <w:b/>
          <w:bCs/>
        </w:rPr>
        <w:t>PREFERRED QUALIFICATIONS:</w:t>
      </w:r>
    </w:p>
    <w:p w14:paraId="3B41A01E" w14:textId="77777777" w:rsidR="006D22B7" w:rsidRDefault="006D22B7" w:rsidP="006D22B7">
      <w:pPr>
        <w:pStyle w:val="ListParagraph"/>
        <w:numPr>
          <w:ilvl w:val="0"/>
          <w:numId w:val="30"/>
        </w:numPr>
        <w:rPr>
          <w:rFonts w:eastAsiaTheme="minorEastAsia"/>
        </w:rPr>
      </w:pPr>
      <w:r>
        <w:t>Background in energy storage</w:t>
      </w:r>
    </w:p>
    <w:p w14:paraId="3A013728" w14:textId="77777777" w:rsidR="006D4891" w:rsidRDefault="00585512" w:rsidP="00585512">
      <w:pPr>
        <w:pStyle w:val="ListParagraph"/>
        <w:numPr>
          <w:ilvl w:val="0"/>
          <w:numId w:val="30"/>
        </w:numPr>
        <w:spacing w:before="100" w:beforeAutospacing="1" w:after="100" w:afterAutospacing="1"/>
      </w:pPr>
      <w:r>
        <w:t>University-level teaching and/or industrial experience</w:t>
      </w:r>
    </w:p>
    <w:p w14:paraId="5C4F664A" w14:textId="77777777" w:rsidR="006D22B7" w:rsidRPr="00C5361A" w:rsidRDefault="006D22B7" w:rsidP="006D22B7">
      <w:pPr>
        <w:pStyle w:val="ListParagraph"/>
        <w:numPr>
          <w:ilvl w:val="0"/>
          <w:numId w:val="30"/>
        </w:numPr>
      </w:pPr>
      <w:r>
        <w:t>Experience conducting and developing laboratory experiments</w:t>
      </w:r>
    </w:p>
    <w:p w14:paraId="3D5C7998" w14:textId="3009F1FF" w:rsidR="004B119E" w:rsidRPr="006D22B7" w:rsidRDefault="00585512" w:rsidP="006D22B7">
      <w:pPr>
        <w:pStyle w:val="ListParagraph"/>
        <w:numPr>
          <w:ilvl w:val="0"/>
          <w:numId w:val="30"/>
        </w:numPr>
        <w:spacing w:before="100" w:beforeAutospacing="1" w:after="100" w:afterAutospacing="1"/>
      </w:pPr>
      <w:r>
        <w:t>Capability to assist and guide student projects at the undergraduate and graduate level</w:t>
      </w:r>
    </w:p>
    <w:p w14:paraId="34C0D691" w14:textId="618B7035" w:rsidR="00556EF1" w:rsidRPr="00E216B6" w:rsidRDefault="00556EF1" w:rsidP="00556EF1">
      <w:pPr>
        <w:pStyle w:val="ListParagraph"/>
        <w:numPr>
          <w:ilvl w:val="0"/>
          <w:numId w:val="19"/>
        </w:numPr>
        <w:ind w:left="360"/>
        <w:rPr>
          <w:rFonts w:eastAsia="Calibri"/>
          <w:sz w:val="22"/>
          <w:szCs w:val="22"/>
        </w:rPr>
      </w:pPr>
      <w:r w:rsidRPr="00E216B6">
        <w:rPr>
          <w:rFonts w:eastAsia="Calibri"/>
        </w:rPr>
        <w:t>Experience using innovative teaching strategies to foster inclusive and equitable student success</w:t>
      </w:r>
    </w:p>
    <w:p w14:paraId="64F44E9E" w14:textId="77777777" w:rsidR="00556EF1" w:rsidRPr="00E216B6" w:rsidRDefault="00556EF1" w:rsidP="00556EF1">
      <w:pPr>
        <w:pStyle w:val="ListParagraph"/>
        <w:numPr>
          <w:ilvl w:val="0"/>
          <w:numId w:val="19"/>
        </w:numPr>
        <w:ind w:left="360"/>
        <w:rPr>
          <w:rFonts w:eastAsia="Calibri"/>
        </w:rPr>
      </w:pPr>
      <w:r w:rsidRPr="00E216B6">
        <w:rPr>
          <w:rFonts w:eastAsia="Calibri"/>
        </w:rPr>
        <w:t>Experience with and/or potential to provide academic and career advising to diverse students</w:t>
      </w:r>
    </w:p>
    <w:p w14:paraId="5565F895" w14:textId="77777777" w:rsidR="006D22B7" w:rsidRPr="006D22B7" w:rsidRDefault="00556EF1" w:rsidP="006D22B7">
      <w:pPr>
        <w:pStyle w:val="ListParagraph"/>
        <w:numPr>
          <w:ilvl w:val="0"/>
          <w:numId w:val="10"/>
        </w:numPr>
        <w:ind w:left="360"/>
        <w:rPr>
          <w:rFonts w:eastAsia="Calibri"/>
        </w:rPr>
      </w:pPr>
      <w:r w:rsidRPr="00E216B6">
        <w:rPr>
          <w:rFonts w:eastAsia="Calibri"/>
        </w:rPr>
        <w:t xml:space="preserve">Ability to contribute to the </w:t>
      </w:r>
      <w:hyperlink r:id="rId8" w:history="1">
        <w:r w:rsidRPr="00F2411D">
          <w:rPr>
            <w:rStyle w:val="Hyperlink"/>
            <w:rFonts w:eastAsia="Calibri"/>
          </w:rPr>
          <w:t>campus imperatives</w:t>
        </w:r>
      </w:hyperlink>
      <w:r w:rsidR="00585512">
        <w:t xml:space="preserve"> </w:t>
      </w:r>
    </w:p>
    <w:p w14:paraId="2C700041" w14:textId="15D6111C" w:rsidR="006D22B7" w:rsidRPr="006D22B7" w:rsidRDefault="006D22B7" w:rsidP="006D22B7">
      <w:pPr>
        <w:pStyle w:val="ListParagraph"/>
        <w:numPr>
          <w:ilvl w:val="0"/>
          <w:numId w:val="10"/>
        </w:numPr>
        <w:ind w:left="360"/>
        <w:rPr>
          <w:rFonts w:eastAsia="Calibri"/>
        </w:rPr>
      </w:pPr>
      <w:r>
        <w:t>For Consideration at the Associate Professor level, the following are preferred:</w:t>
      </w:r>
    </w:p>
    <w:p w14:paraId="5FC676B5" w14:textId="77777777" w:rsidR="006D22B7" w:rsidRDefault="006D22B7" w:rsidP="006D22B7">
      <w:pPr>
        <w:pStyle w:val="ListParagraph"/>
        <w:numPr>
          <w:ilvl w:val="1"/>
          <w:numId w:val="10"/>
        </w:numPr>
      </w:pPr>
      <w:r>
        <w:t>Evidence of strong teaching to a diverse student population</w:t>
      </w:r>
    </w:p>
    <w:p w14:paraId="5BC4E754" w14:textId="77777777" w:rsidR="006D22B7" w:rsidRDefault="006D22B7" w:rsidP="006D22B7">
      <w:pPr>
        <w:pStyle w:val="ListParagraph"/>
        <w:numPr>
          <w:ilvl w:val="1"/>
          <w:numId w:val="10"/>
        </w:numPr>
      </w:pPr>
      <w:r>
        <w:t>Demonstrated experience in the pursuit of external funding</w:t>
      </w:r>
    </w:p>
    <w:p w14:paraId="2BEB58BC" w14:textId="77777777" w:rsidR="006D22B7" w:rsidRDefault="006D22B7" w:rsidP="006D22B7">
      <w:pPr>
        <w:pStyle w:val="ListParagraph"/>
        <w:numPr>
          <w:ilvl w:val="1"/>
          <w:numId w:val="10"/>
        </w:numPr>
      </w:pPr>
      <w:r>
        <w:t>Evidence of mentored graduate and undergraduate research</w:t>
      </w:r>
    </w:p>
    <w:p w14:paraId="7EB7E841" w14:textId="77777777" w:rsidR="006D22B7" w:rsidRDefault="006D22B7" w:rsidP="006D22B7">
      <w:pPr>
        <w:pStyle w:val="ListParagraph"/>
        <w:numPr>
          <w:ilvl w:val="1"/>
          <w:numId w:val="10"/>
        </w:numPr>
      </w:pPr>
      <w:r>
        <w:t>Record of interaction with the community at large (i.e. conference organization, K12 outreach, and student club advising)</w:t>
      </w:r>
    </w:p>
    <w:p w14:paraId="4F7A9341" w14:textId="77777777" w:rsidR="006D22B7" w:rsidRPr="00556EF1" w:rsidRDefault="006D22B7" w:rsidP="006D22B7">
      <w:pPr>
        <w:pStyle w:val="ListParagraph"/>
        <w:ind w:left="360"/>
        <w:rPr>
          <w:rFonts w:eastAsia="Calibri"/>
        </w:rPr>
      </w:pPr>
    </w:p>
    <w:p w14:paraId="2AAEBF31" w14:textId="77777777" w:rsidR="003D4B08" w:rsidRDefault="003D4B08" w:rsidP="00952DC6">
      <w:pPr>
        <w:spacing w:before="100" w:beforeAutospacing="1" w:after="100" w:afterAutospacing="1"/>
        <w:rPr>
          <w:b/>
        </w:rPr>
      </w:pPr>
      <w:r>
        <w:rPr>
          <w:b/>
        </w:rPr>
        <w:t>APPLICANT INSTRUCTIONS:</w:t>
      </w:r>
    </w:p>
    <w:p w14:paraId="2C11AEF2" w14:textId="52637442" w:rsidR="009459D2" w:rsidRDefault="009459D2" w:rsidP="00902431">
      <w:pPr>
        <w:pStyle w:val="ListParagraph"/>
        <w:numPr>
          <w:ilvl w:val="0"/>
          <w:numId w:val="31"/>
        </w:numPr>
        <w:jc w:val="both"/>
      </w:pPr>
      <w:r w:rsidRPr="00587193">
        <w:t xml:space="preserve">Review of applications will begin </w:t>
      </w:r>
      <w:r w:rsidR="00666D08">
        <w:t>December 9</w:t>
      </w:r>
      <w:r w:rsidR="001C0920">
        <w:t>, 2024</w:t>
      </w:r>
      <w:r w:rsidRPr="00587193">
        <w:t xml:space="preserve"> and the position will remain open until filled.</w:t>
      </w:r>
    </w:p>
    <w:p w14:paraId="4D2C6E55" w14:textId="77777777" w:rsidR="00765457" w:rsidRDefault="00765457" w:rsidP="00902431">
      <w:pPr>
        <w:pStyle w:val="ListParagraph"/>
        <w:numPr>
          <w:ilvl w:val="0"/>
          <w:numId w:val="31"/>
        </w:numPr>
        <w:jc w:val="both"/>
      </w:pPr>
      <w:r>
        <w:t>An applicant must submit:</w:t>
      </w:r>
    </w:p>
    <w:p w14:paraId="3C917F6B" w14:textId="4E2042D5" w:rsidR="00765457" w:rsidRDefault="005F644F" w:rsidP="00C4757D">
      <w:pPr>
        <w:pStyle w:val="ListParagraph"/>
        <w:numPr>
          <w:ilvl w:val="0"/>
          <w:numId w:val="32"/>
        </w:numPr>
        <w:jc w:val="both"/>
      </w:pPr>
      <w:r>
        <w:t>L</w:t>
      </w:r>
      <w:r w:rsidR="00765457">
        <w:t>etter of application</w:t>
      </w:r>
      <w:r w:rsidR="009B2D4F">
        <w:t>:</w:t>
      </w:r>
      <w:r w:rsidR="00765457">
        <w:t xml:space="preserve">  In the letter, briefly address your ability to meet two or more of the Latinx/e Student Success Cohort criteria (see Required Qualifications above)</w:t>
      </w:r>
    </w:p>
    <w:p w14:paraId="34D2076F" w14:textId="590C638C" w:rsidR="00765457" w:rsidRDefault="000F27C1" w:rsidP="00C4757D">
      <w:pPr>
        <w:pStyle w:val="ListParagraph"/>
        <w:numPr>
          <w:ilvl w:val="0"/>
          <w:numId w:val="32"/>
        </w:numPr>
        <w:jc w:val="both"/>
      </w:pPr>
      <w:r>
        <w:t>C</w:t>
      </w:r>
      <w:r w:rsidR="00765457">
        <w:t>urrent curriculum vitae</w:t>
      </w:r>
    </w:p>
    <w:p w14:paraId="4399336A" w14:textId="63C491E6" w:rsidR="000F27C1" w:rsidRPr="00C5361A" w:rsidRDefault="000F27C1" w:rsidP="000F27C1">
      <w:pPr>
        <w:numPr>
          <w:ilvl w:val="0"/>
          <w:numId w:val="32"/>
        </w:numPr>
        <w:contextualSpacing/>
        <w:jc w:val="both"/>
        <w:rPr>
          <w:rFonts w:cs="Arial"/>
        </w:rPr>
      </w:pPr>
      <w:r w:rsidRPr="7FD3974F">
        <w:rPr>
          <w:rFonts w:cs="Arial"/>
        </w:rPr>
        <w:t xml:space="preserve">Official transcripts of </w:t>
      </w:r>
      <w:r w:rsidR="00772E23">
        <w:rPr>
          <w:rFonts w:cs="Arial"/>
        </w:rPr>
        <w:t>the</w:t>
      </w:r>
      <w:r w:rsidRPr="7FD3974F">
        <w:rPr>
          <w:rFonts w:cs="Arial"/>
        </w:rPr>
        <w:t xml:space="preserve"> highest degree earned (unofficial copies accepted until interview)</w:t>
      </w:r>
    </w:p>
    <w:p w14:paraId="675653AE" w14:textId="77777777" w:rsidR="000F27C1" w:rsidRPr="00C5361A" w:rsidRDefault="000F27C1" w:rsidP="000F27C1">
      <w:pPr>
        <w:numPr>
          <w:ilvl w:val="0"/>
          <w:numId w:val="32"/>
        </w:numPr>
        <w:contextualSpacing/>
        <w:jc w:val="both"/>
        <w:rPr>
          <w:rFonts w:cs="Arial"/>
        </w:rPr>
      </w:pPr>
      <w:r w:rsidRPr="00C5361A">
        <w:rPr>
          <w:rFonts w:cs="Arial"/>
        </w:rPr>
        <w:t>Names and contact information of at least three recent professional references</w:t>
      </w:r>
    </w:p>
    <w:p w14:paraId="75D522CF" w14:textId="77777777" w:rsidR="000F27C1" w:rsidRPr="00C5361A" w:rsidRDefault="000F27C1" w:rsidP="000F27C1">
      <w:pPr>
        <w:numPr>
          <w:ilvl w:val="0"/>
          <w:numId w:val="32"/>
        </w:numPr>
        <w:contextualSpacing/>
        <w:jc w:val="both"/>
        <w:rPr>
          <w:rFonts w:cs="Arial"/>
        </w:rPr>
      </w:pPr>
      <w:r w:rsidRPr="00C5361A">
        <w:rPr>
          <w:rFonts w:cs="Arial"/>
        </w:rPr>
        <w:t>Statement of teaching interests</w:t>
      </w:r>
    </w:p>
    <w:p w14:paraId="0CA54EEC" w14:textId="77777777" w:rsidR="000F27C1" w:rsidRDefault="000F27C1" w:rsidP="000F27C1">
      <w:pPr>
        <w:numPr>
          <w:ilvl w:val="0"/>
          <w:numId w:val="32"/>
        </w:numPr>
        <w:contextualSpacing/>
        <w:jc w:val="both"/>
        <w:rPr>
          <w:rFonts w:cs="Arial"/>
        </w:rPr>
      </w:pPr>
      <w:r w:rsidRPr="00C5361A">
        <w:rPr>
          <w:rFonts w:cs="Arial"/>
        </w:rPr>
        <w:t>Statement of research interests</w:t>
      </w:r>
    </w:p>
    <w:p w14:paraId="50DA7DB7" w14:textId="5652294C" w:rsidR="009B2D4F" w:rsidRPr="00F21F77" w:rsidRDefault="009B2D4F" w:rsidP="00F21F77">
      <w:pPr>
        <w:pStyle w:val="ListParagraph"/>
        <w:numPr>
          <w:ilvl w:val="0"/>
          <w:numId w:val="32"/>
        </w:numPr>
        <w:rPr>
          <w:rFonts w:cs="Arial"/>
        </w:rPr>
      </w:pPr>
      <w:r w:rsidRPr="009B2D4F">
        <w:rPr>
          <w:rFonts w:cs="Arial"/>
        </w:rPr>
        <w:lastRenderedPageBreak/>
        <w:t>Diversity Statement</w:t>
      </w:r>
      <w:r w:rsidR="00F21F77">
        <w:rPr>
          <w:rFonts w:cs="Arial"/>
        </w:rPr>
        <w:t>:</w:t>
      </w:r>
      <w:r>
        <w:rPr>
          <w:rFonts w:cs="Arial"/>
        </w:rPr>
        <w:t xml:space="preserve">  </w:t>
      </w:r>
      <w:r w:rsidRPr="009B2D4F">
        <w:rPr>
          <w:rFonts w:cs="Arial"/>
        </w:rPr>
        <w:t>Be sure to expand on your ability to meet two or more of the Latinx/e Student Success Cohort criteria (see Required Qualifications above), as mentioned in your cover letter.</w:t>
      </w:r>
    </w:p>
    <w:p w14:paraId="6553C63A" w14:textId="77777777" w:rsidR="00011C82" w:rsidRPr="00011C82" w:rsidRDefault="00011C82" w:rsidP="00011C82">
      <w:pPr>
        <w:pStyle w:val="ListParagraph"/>
        <w:numPr>
          <w:ilvl w:val="0"/>
          <w:numId w:val="35"/>
        </w:numPr>
        <w:jc w:val="both"/>
        <w:rPr>
          <w:rFonts w:cs="Arial"/>
        </w:rPr>
      </w:pPr>
      <w:r w:rsidRPr="00011C82">
        <w:rPr>
          <w:rFonts w:cs="Arial"/>
        </w:rPr>
        <w:t>Optional materials that may be submitted:</w:t>
      </w:r>
    </w:p>
    <w:p w14:paraId="475949F8" w14:textId="77777777" w:rsidR="00011C82" w:rsidRPr="00C5361A" w:rsidRDefault="00011C82" w:rsidP="00EA4669">
      <w:pPr>
        <w:numPr>
          <w:ilvl w:val="0"/>
          <w:numId w:val="37"/>
        </w:numPr>
        <w:ind w:left="720"/>
        <w:contextualSpacing/>
        <w:jc w:val="both"/>
        <w:rPr>
          <w:rFonts w:cs="Arial"/>
        </w:rPr>
      </w:pPr>
      <w:r w:rsidRPr="00C5361A">
        <w:rPr>
          <w:rFonts w:cs="Arial"/>
        </w:rPr>
        <w:t>Evidence of teaching experience (e.g., syllabi, exams, course evaluations)</w:t>
      </w:r>
    </w:p>
    <w:p w14:paraId="47779811" w14:textId="1511A4D5" w:rsidR="00011C82" w:rsidRDefault="00011C82" w:rsidP="00EA4669">
      <w:pPr>
        <w:numPr>
          <w:ilvl w:val="0"/>
          <w:numId w:val="37"/>
        </w:numPr>
        <w:ind w:left="720"/>
        <w:contextualSpacing/>
        <w:jc w:val="both"/>
        <w:rPr>
          <w:rFonts w:cs="Arial"/>
        </w:rPr>
      </w:pPr>
      <w:r w:rsidRPr="00C5361A">
        <w:rPr>
          <w:rFonts w:cs="Arial"/>
        </w:rPr>
        <w:t>Evidence of research experience (e.g., journal or conference papers, list of funded projects, funded and unfunded grant proposals)</w:t>
      </w:r>
    </w:p>
    <w:p w14:paraId="60ED49B5" w14:textId="77777777" w:rsidR="00A12D36" w:rsidRPr="00C5361A" w:rsidRDefault="00A12D36" w:rsidP="00A12D36">
      <w:pPr>
        <w:ind w:left="720"/>
        <w:contextualSpacing/>
        <w:jc w:val="both"/>
        <w:rPr>
          <w:rFonts w:cs="Arial"/>
        </w:rPr>
      </w:pPr>
    </w:p>
    <w:p w14:paraId="5648786B" w14:textId="025F30CC" w:rsidR="009459D2" w:rsidRPr="00AC466A" w:rsidRDefault="009459D2" w:rsidP="00A12D36">
      <w:pPr>
        <w:jc w:val="both"/>
      </w:pPr>
      <w:r w:rsidRPr="00AC466A">
        <w:rPr>
          <w:rStyle w:val="ui-provider"/>
        </w:rPr>
        <w:t xml:space="preserve">Candidates from underrepresented and/or minoritized groups in </w:t>
      </w:r>
      <w:r w:rsidR="004B119E" w:rsidRPr="00AC466A">
        <w:rPr>
          <w:rStyle w:val="ui-provider"/>
        </w:rPr>
        <w:t>engineering</w:t>
      </w:r>
      <w:r w:rsidRPr="00AC466A">
        <w:rPr>
          <w:rStyle w:val="ui-provider"/>
        </w:rPr>
        <w:t xml:space="preserve"> are strongly encouraged to apply.</w:t>
      </w:r>
    </w:p>
    <w:p w14:paraId="0CE98116" w14:textId="7B674C28" w:rsidR="00952DC6" w:rsidRPr="00952DC6" w:rsidRDefault="00952DC6" w:rsidP="00952DC6">
      <w:pPr>
        <w:spacing w:before="100" w:beforeAutospacing="1" w:after="100" w:afterAutospacing="1"/>
      </w:pPr>
      <w:r w:rsidRPr="00952DC6">
        <w:rPr>
          <w:b/>
          <w:bCs/>
        </w:rPr>
        <w:t>OTHER SPECIFICS ABOUT THE POSITION</w:t>
      </w:r>
      <w:r w:rsidR="00D53105">
        <w:rPr>
          <w:b/>
          <w:bCs/>
        </w:rPr>
        <w:t>:</w:t>
      </w:r>
    </w:p>
    <w:p w14:paraId="1889602E" w14:textId="0CD93DB7" w:rsidR="00952DC6" w:rsidRPr="00AD66E8" w:rsidRDefault="008E3D68" w:rsidP="00952DC6">
      <w:pPr>
        <w:spacing w:before="100" w:beforeAutospacing="1" w:after="100" w:afterAutospacing="1"/>
        <w:rPr>
          <w:rFonts w:eastAsiaTheme="minorHAnsi"/>
        </w:rPr>
      </w:pPr>
      <w:r w:rsidRPr="008E3D68">
        <w:rPr>
          <w:rFonts w:eastAsiaTheme="minorHAnsi"/>
        </w:rPr>
        <w:t>Sacramento State serves as an Anchor University to engage with the community. With this position, faculty candidates are encouraged to explore potential research and industry engagement opportunities within their area of expertise</w:t>
      </w:r>
      <w:r w:rsidR="004B119E">
        <w:rPr>
          <w:rFonts w:eastAsiaTheme="minorHAnsi"/>
        </w:rPr>
        <w:t>.</w:t>
      </w:r>
    </w:p>
    <w:p w14:paraId="693B7DE1" w14:textId="77777777" w:rsidR="00842274" w:rsidRDefault="00842274" w:rsidP="00842274">
      <w:r>
        <w:rPr>
          <w:b/>
          <w:bCs/>
        </w:rPr>
        <w:t>About Sacramento State</w:t>
      </w:r>
    </w:p>
    <w:p w14:paraId="1330CB0A" w14:textId="77D484D3" w:rsidR="0088607B" w:rsidRPr="0088607B" w:rsidRDefault="00842274" w:rsidP="0088607B">
      <w:pPr>
        <w:rPr>
          <w:szCs w:val="22"/>
        </w:rPr>
      </w:pPr>
      <w:hyperlink r:id="rId9" w:history="1">
        <w:r w:rsidRPr="00842274">
          <w:rPr>
            <w:rStyle w:val="Hyperlink"/>
          </w:rPr>
          <w:t>Sacramento State</w:t>
        </w:r>
      </w:hyperlink>
      <w:r>
        <w:t xml:space="preserve"> is located in the heart of California’s capital city, five miles from State Capitol. The lush, 300-acre campus is situated along the American River, close to numerous bike trails and other recreational areas. Sacramento, also known as the “Farm-to-Fork Capital,” is one of the most ethnically diverse and livable cities in the country, with a population of half of a million. Sacramento State</w:t>
      </w:r>
      <w:r w:rsidR="00061B00">
        <w:t xml:space="preserve"> is a Hispanic and AANAPISI serving institution with about </w:t>
      </w:r>
      <w:r>
        <w:t xml:space="preserve">31,000 students </w:t>
      </w:r>
      <w:r w:rsidR="00A42F5C">
        <w:t>coming</w:t>
      </w:r>
      <w:r>
        <w:t xml:space="preserve"> not only from the Greater Sacramento Region, but also from across the state, country, and world. </w:t>
      </w:r>
      <w:r w:rsidR="0088607B" w:rsidRPr="0088607B">
        <w:rPr>
          <w:szCs w:val="22"/>
        </w:rPr>
        <w:t>Our 1,800 faculty and 1,500 staff are committed to meeting our mission:</w:t>
      </w:r>
    </w:p>
    <w:p w14:paraId="2A591148" w14:textId="713462AD" w:rsidR="00842274" w:rsidRPr="0088607B" w:rsidRDefault="0088607B" w:rsidP="00842274">
      <w:pPr>
        <w:rPr>
          <w:szCs w:val="22"/>
        </w:rPr>
      </w:pPr>
      <w:r w:rsidRPr="0088607B">
        <w:rPr>
          <w:szCs w:val="22"/>
        </w:rPr>
        <w:t xml:space="preserve"> “As California’s capital university, we transform lives by preparing students to lead, serve, and succeed. Sacramento State will be a welcoming, caring, and inclusive leader in education, innovation, and engagement.” As the regional hub of higher education, Sacramento State is dedicated to </w:t>
      </w:r>
      <w:hyperlink r:id="rId10" w:tgtFrame="_blank" w:tooltip="https://www.csus.edu/president/mission-imperatives/learning-success/" w:history="1">
        <w:r w:rsidRPr="0088607B">
          <w:rPr>
            <w:rStyle w:val="Hyperlink"/>
            <w:color w:val="000000" w:themeColor="text1"/>
          </w:rPr>
          <w:t>learning and student success</w:t>
        </w:r>
      </w:hyperlink>
      <w:r w:rsidRPr="0088607B">
        <w:rPr>
          <w:rStyle w:val="Hyperlink"/>
          <w:color w:val="000000" w:themeColor="text1"/>
        </w:rPr>
        <w:t xml:space="preserve">; </w:t>
      </w:r>
      <w:hyperlink r:id="rId11" w:tgtFrame="_blank" w:tooltip="https://www.csus.edu/president/mission-imperatives/teaching-scholarship-creative-activity/" w:history="1">
        <w:r w:rsidRPr="0088607B">
          <w:rPr>
            <w:rStyle w:val="Hyperlink"/>
            <w:color w:val="000000" w:themeColor="text1"/>
          </w:rPr>
          <w:t>teaching, research, scholarship and creative activity</w:t>
        </w:r>
      </w:hyperlink>
      <w:r w:rsidRPr="0088607B">
        <w:rPr>
          <w:rStyle w:val="Hyperlink"/>
          <w:color w:val="000000" w:themeColor="text1"/>
        </w:rPr>
        <w:t xml:space="preserve">; </w:t>
      </w:r>
      <w:hyperlink r:id="rId12" w:tgtFrame="_blank" w:tooltip="https://www.csus.edu/president/mission-imperatives/justice-diversity-equity-inclusion-belonging/" w:history="1">
        <w:r w:rsidRPr="0088607B">
          <w:rPr>
            <w:rStyle w:val="Hyperlink"/>
            <w:color w:val="000000" w:themeColor="text1"/>
          </w:rPr>
          <w:t>justice, diversity, equity and inclusion</w:t>
        </w:r>
      </w:hyperlink>
      <w:r w:rsidRPr="0088607B">
        <w:rPr>
          <w:rStyle w:val="Hyperlink"/>
          <w:color w:val="000000" w:themeColor="text1"/>
        </w:rPr>
        <w:t xml:space="preserve">; </w:t>
      </w:r>
      <w:hyperlink r:id="rId13" w:tgtFrame="_blank" w:tooltip="https://www.csus.edu/president/mission-imperatives/resource-development-sustainability/" w:history="1">
        <w:r w:rsidRPr="0088607B">
          <w:rPr>
            <w:rStyle w:val="Hyperlink"/>
            <w:color w:val="000000" w:themeColor="text1"/>
          </w:rPr>
          <w:t>resource development and sustainability</w:t>
        </w:r>
      </w:hyperlink>
      <w:r w:rsidRPr="0088607B">
        <w:rPr>
          <w:rStyle w:val="Hyperlink"/>
          <w:color w:val="000000" w:themeColor="text1"/>
        </w:rPr>
        <w:t xml:space="preserve">; </w:t>
      </w:r>
      <w:hyperlink r:id="rId14" w:tgtFrame="_blank" w:tooltip="https://www.csus.edu/president/mission-imperatives/community-involvement/" w:history="1">
        <w:r w:rsidRPr="0088607B">
          <w:rPr>
            <w:rStyle w:val="Hyperlink"/>
            <w:color w:val="000000" w:themeColor="text1"/>
          </w:rPr>
          <w:t>dedicated community engagement</w:t>
        </w:r>
      </w:hyperlink>
      <w:r w:rsidRPr="0088607B">
        <w:rPr>
          <w:rStyle w:val="Hyperlink"/>
          <w:color w:val="000000" w:themeColor="text1"/>
        </w:rPr>
        <w:t xml:space="preserve">, and </w:t>
      </w:r>
      <w:hyperlink r:id="rId15" w:tgtFrame="_blank" w:tooltip="https://www.csus.edu/president/mission-imperatives/wellness/" w:history="1">
        <w:r w:rsidRPr="0088607B">
          <w:rPr>
            <w:rStyle w:val="Hyperlink"/>
            <w:color w:val="000000" w:themeColor="text1"/>
          </w:rPr>
          <w:t>wellness and safety</w:t>
        </w:r>
      </w:hyperlink>
      <w:r w:rsidRPr="0088607B">
        <w:rPr>
          <w:rStyle w:val="Hyperlink"/>
          <w:color w:val="000000" w:themeColor="text1"/>
        </w:rPr>
        <w:t>.</w:t>
      </w:r>
      <w:r w:rsidRPr="0088607B">
        <w:rPr>
          <w:color w:val="000000" w:themeColor="text1"/>
          <w:szCs w:val="22"/>
        </w:rPr>
        <w:t xml:space="preserve"> </w:t>
      </w:r>
    </w:p>
    <w:p w14:paraId="35F8CA41" w14:textId="77777777" w:rsidR="00842274" w:rsidRDefault="00842274" w:rsidP="00842274">
      <w:pPr>
        <w:spacing w:before="100" w:beforeAutospacing="1" w:after="100" w:afterAutospacing="1"/>
      </w:pPr>
      <w:r>
        <w:t xml:space="preserve">As evidenced by the values embedded in our </w:t>
      </w:r>
      <w:hyperlink r:id="rId16" w:history="1">
        <w:r w:rsidRPr="00842274">
          <w:rPr>
            <w:rStyle w:val="Hyperlink"/>
          </w:rPr>
          <w:t>Hornet Honor Code</w:t>
        </w:r>
      </w:hyperlink>
      <w:r>
        <w:t xml:space="preserve">, Sacramento State is committed to creating an inclusive environment where all faculty, staff, students, and guests are welcome and valued.  Our commitment is more than simply ensuring that our campus is free from bias and discrimination, but is one devoted to celebrating many diverse identities, life experiences, and perspectives that enrich our community, teaching and learning.  </w:t>
      </w:r>
    </w:p>
    <w:p w14:paraId="2473E3F3" w14:textId="77777777" w:rsidR="00842274" w:rsidRPr="00952DC6" w:rsidRDefault="00842274" w:rsidP="00842274">
      <w:pPr>
        <w:spacing w:before="100" w:beforeAutospacing="1" w:after="100" w:afterAutospacing="1"/>
      </w:pPr>
      <w:r>
        <w:t xml:space="preserve">To learn more about why you should join the Hornet Family, please visit the </w:t>
      </w:r>
      <w:hyperlink r:id="rId17" w:history="1">
        <w:r w:rsidRPr="00842274">
          <w:rPr>
            <w:rStyle w:val="Hyperlink"/>
          </w:rPr>
          <w:t>Why Sac State?</w:t>
        </w:r>
      </w:hyperlink>
      <w:r>
        <w:t xml:space="preserve"> page.</w:t>
      </w:r>
    </w:p>
    <w:p w14:paraId="0CFCADEF" w14:textId="77777777" w:rsidR="00952DC6" w:rsidRPr="00952DC6" w:rsidRDefault="00CE5E7A" w:rsidP="00952DC6">
      <w:pPr>
        <w:spacing w:before="100" w:beforeAutospacing="1" w:after="100" w:afterAutospacing="1"/>
      </w:pPr>
      <w:r>
        <w:rPr>
          <w:b/>
          <w:bCs/>
        </w:rPr>
        <w:t>E</w:t>
      </w:r>
      <w:r w:rsidR="00952DC6" w:rsidRPr="00952DC6">
        <w:rPr>
          <w:b/>
          <w:bCs/>
        </w:rPr>
        <w:t>qual Employment Opportunity</w:t>
      </w:r>
      <w:r w:rsidR="00952DC6" w:rsidRPr="00952DC6">
        <w:t xml:space="preserve"> </w:t>
      </w:r>
      <w:r w:rsidR="00952DC6" w:rsidRPr="00952DC6">
        <w:br/>
        <w:t>California State University, Sacramento is an Affirmative Action/Equal Opportunity Employer and has a strong institutional commitment to the principle of diversity in all areas. We consider qualified applicants for employment without regard to race, color, religion, national origin, age, sex, gender identity/expression, sexual orientation, pregnancy, genetic information, medical condition, marital status, veteran status, or disability. Sacramento State hires only those individuals who are lawfully authorized to accept employment in the United States.</w:t>
      </w:r>
    </w:p>
    <w:p w14:paraId="54A95655" w14:textId="687BA907" w:rsidR="00952DC6" w:rsidRPr="00952DC6" w:rsidRDefault="00952DC6" w:rsidP="00952DC6">
      <w:pPr>
        <w:spacing w:before="100" w:beforeAutospacing="1" w:after="100" w:afterAutospacing="1"/>
      </w:pPr>
      <w:r w:rsidRPr="00952DC6">
        <w:t xml:space="preserve">It is the policy of California State University, Sacramento to provide reasonable accommodations for qualified persons with disabilities who are employees or applicants for employment. If you need a disability related reasonable accommodation as part of the application and/or interviewing process, visit </w:t>
      </w:r>
      <w:hyperlink r:id="rId18" w:history="1">
        <w:r w:rsidR="0088607B" w:rsidRPr="00FE117D">
          <w:rPr>
            <w:rStyle w:val="Hyperlink"/>
          </w:rPr>
          <w:t>https://www.csus.edu/administration-business-affairs/human-resources/benefits/reasonable-accomodation.html</w:t>
        </w:r>
      </w:hyperlink>
      <w:r w:rsidR="0088607B">
        <w:t xml:space="preserve">. </w:t>
      </w:r>
    </w:p>
    <w:p w14:paraId="7F61D0AB" w14:textId="50BC403C" w:rsidR="00952DC6" w:rsidRPr="00952DC6" w:rsidRDefault="00952DC6" w:rsidP="00952DC6">
      <w:pPr>
        <w:spacing w:before="100" w:beforeAutospacing="1" w:after="100" w:afterAutospacing="1"/>
      </w:pPr>
      <w:r w:rsidRPr="00952DC6">
        <w:lastRenderedPageBreak/>
        <w:t xml:space="preserve">The University is committed to creating an education and working environment free from discrimination, sexual harassment, sexual violence, domestic violence, dating violence, and stalking. For more information on mandatory training for new employees, visit </w:t>
      </w:r>
      <w:hyperlink r:id="rId19" w:history="1">
        <w:r w:rsidR="0088607B" w:rsidRPr="00FE117D">
          <w:rPr>
            <w:rStyle w:val="Hyperlink"/>
          </w:rPr>
          <w:t>https://www.csus.edu/administration-business-affairs/human-resources/learning-development/csu-learn.html</w:t>
        </w:r>
      </w:hyperlink>
      <w:r w:rsidR="0088607B">
        <w:t xml:space="preserve">. </w:t>
      </w:r>
    </w:p>
    <w:p w14:paraId="668F2F7F" w14:textId="77777777" w:rsidR="003677B1" w:rsidRPr="006D5FA6" w:rsidRDefault="00952DC6" w:rsidP="003677B1">
      <w:pPr>
        <w:spacing w:before="100" w:beforeAutospacing="1"/>
        <w:rPr>
          <w:b/>
        </w:rPr>
      </w:pPr>
      <w:r w:rsidRPr="006D5FA6">
        <w:rPr>
          <w:b/>
        </w:rPr>
        <w:t>Jeanne Clery Disclosure of Campus Security Policy and Crime Statistics Act and Campus Fire Safety Right-To-know Act Notification:</w:t>
      </w:r>
    </w:p>
    <w:p w14:paraId="1E1E1340" w14:textId="77777777" w:rsidR="00952DC6" w:rsidRPr="00952DC6" w:rsidRDefault="00952DC6" w:rsidP="00952DC6">
      <w:pPr>
        <w:spacing w:before="100" w:beforeAutospacing="1" w:after="100" w:afterAutospacing="1"/>
      </w:pPr>
      <w:r w:rsidRPr="00952DC6">
        <w:t xml:space="preserve">Pursuant to the Jeanne Clery Disclosure of Campus Security Policy and Campus Crime Statistics Act, the current Annual Security Report (ASR) is available for viewing at </w:t>
      </w:r>
      <w:hyperlink r:id="rId20" w:history="1">
        <w:r w:rsidRPr="00952DC6">
          <w:rPr>
            <w:color w:val="0000FF"/>
            <w:u w:val="single"/>
          </w:rPr>
          <w:t>https://www.csus.edu/clery</w:t>
        </w:r>
      </w:hyperlink>
      <w:r w:rsidRPr="00952DC6">
        <w:t>.</w:t>
      </w:r>
      <w:r w:rsidRPr="00952DC6">
        <w:br/>
        <w:t>The ASR contains the current security and safety-related policy statements, emergency preparedness and evacuation information, crime prevention and sexual assault prevention information, and drug and alcohol prevention programming. The ASR also contains statistics of Clery Act crimes for Sacramento State for the last three (3) calendar years. Paper copies are available upon request at the Police Service Center located in the University Union.</w:t>
      </w:r>
    </w:p>
    <w:p w14:paraId="02D53840" w14:textId="77777777" w:rsidR="00CE5E7A" w:rsidRPr="00CE5E7A" w:rsidRDefault="00CE5E7A" w:rsidP="00CE5E7A">
      <w:pPr>
        <w:spacing w:before="100" w:beforeAutospacing="1" w:after="100" w:afterAutospacing="1"/>
        <w:rPr>
          <w:b/>
          <w:bCs/>
        </w:rPr>
      </w:pPr>
      <w:r w:rsidRPr="00CE5E7A">
        <w:rPr>
          <w:b/>
          <w:bCs/>
        </w:rPr>
        <w:t>Background Check Disclaimer</w:t>
      </w:r>
    </w:p>
    <w:p w14:paraId="48DB92FE" w14:textId="77777777" w:rsidR="00CE5E7A" w:rsidRPr="00CE5E7A" w:rsidRDefault="00CE5E7A" w:rsidP="00CE5E7A">
      <w:pPr>
        <w:spacing w:before="100" w:beforeAutospacing="1" w:after="100" w:afterAutospacing="1"/>
        <w:rPr>
          <w:bCs/>
        </w:rPr>
      </w:pPr>
      <w:r w:rsidRPr="00CE5E7A">
        <w:rPr>
          <w:bCs/>
        </w:rPr>
        <w:t>A background check (including a criminal records check) must be completed satisfactorily before any candidate can be offered a position with California State University, Sacramento. Failure to satisfactorily complete the background check may affect the application status of applicants or continued employment of current California State University, Sacramento employees who apply for the position.</w:t>
      </w:r>
    </w:p>
    <w:p w14:paraId="5DA8D510" w14:textId="77777777" w:rsidR="0088607B" w:rsidRPr="0088607B" w:rsidRDefault="0088607B" w:rsidP="0088607B">
      <w:pPr>
        <w:rPr>
          <w:rStyle w:val="contentpasted1"/>
          <w:b/>
          <w:bCs/>
          <w:iCs/>
          <w:color w:val="1A1A1A"/>
          <w:szCs w:val="21"/>
        </w:rPr>
      </w:pPr>
      <w:r w:rsidRPr="0088607B">
        <w:rPr>
          <w:rStyle w:val="contentpasted1"/>
          <w:b/>
          <w:bCs/>
          <w:iCs/>
          <w:color w:val="1A1A1A"/>
          <w:szCs w:val="21"/>
        </w:rPr>
        <w:t>COVID19 Vaccination Policy</w:t>
      </w:r>
    </w:p>
    <w:p w14:paraId="3102B2A3" w14:textId="77777777" w:rsidR="0088607B" w:rsidRPr="0088607B" w:rsidRDefault="0088607B" w:rsidP="0088607B"/>
    <w:p w14:paraId="4F8BD94D" w14:textId="386B6275" w:rsidR="0088607B" w:rsidRPr="0088607B" w:rsidRDefault="0088607B" w:rsidP="0088607B">
      <w:pPr>
        <w:rPr>
          <w:color w:val="000000"/>
        </w:rPr>
      </w:pPr>
      <w:r w:rsidRPr="0088607B">
        <w:t xml:space="preserve">Effective May 2023, </w:t>
      </w:r>
      <w:r w:rsidRPr="0088607B">
        <w:rPr>
          <w:rStyle w:val="contentpasted0"/>
          <w:color w:val="1A1A1A"/>
          <w:shd w:val="clear" w:color="auto" w:fill="FFFFFF"/>
        </w:rPr>
        <w:t>per the </w:t>
      </w:r>
      <w:hyperlink r:id="rId21" w:tgtFrame="_blank" w:history="1">
        <w:r w:rsidRPr="0088607B">
          <w:rPr>
            <w:rStyle w:val="Hyperlink"/>
            <w:color w:val="CC0B2A"/>
            <w:shd w:val="clear" w:color="auto" w:fill="FFFFFF"/>
          </w:rPr>
          <w:t>CSU COVID-19 Vaccination Policy</w:t>
        </w:r>
      </w:hyperlink>
      <w:r w:rsidRPr="0088607B">
        <w:rPr>
          <w:rStyle w:val="contentpasted0"/>
          <w:color w:val="1A1A1A"/>
          <w:shd w:val="clear" w:color="auto" w:fill="FFFFFF"/>
        </w:rPr>
        <w:t xml:space="preserve">, it is strongly recommended that all California State University, Sacramento employees who are accessing office and campus facilities follow COVID-19 vaccine recommendations adopted by the U.S. Centers for Disease Control and Prevention (CDC) and the California Department of Public Health (CDPH) applicable to their age, medical condition, and other relevant indications.  </w:t>
      </w:r>
    </w:p>
    <w:p w14:paraId="666E1032" w14:textId="77777777" w:rsidR="00AC1828" w:rsidRDefault="00AC1828" w:rsidP="00AC1828">
      <w:pPr>
        <w:pStyle w:val="NormalWeb"/>
      </w:pPr>
      <w:r>
        <w:rPr>
          <w:rStyle w:val="Strong"/>
        </w:rPr>
        <w:t>Out of State Employment</w:t>
      </w:r>
    </w:p>
    <w:p w14:paraId="277039C3" w14:textId="77777777" w:rsidR="00AC1828" w:rsidRDefault="00AC1828" w:rsidP="00AC1828">
      <w:pPr>
        <w:pStyle w:val="NormalWeb"/>
      </w:pPr>
      <w:r>
        <w:t>Per CSU-wide policy (HR2021-04), all faculty who will begin initial employment (or return from a 12-month break in service) on or after January 1, 2022 are required to perform their work from within the State of California. Faculty hired prior to January 1, 2022 must be available to perform work in the State of California if their assignment is in-person.</w:t>
      </w:r>
    </w:p>
    <w:p w14:paraId="7FBF66F2" w14:textId="77777777" w:rsidR="00CE5E7A" w:rsidRPr="00CE5E7A" w:rsidRDefault="00CE5E7A" w:rsidP="00CE5E7A">
      <w:pPr>
        <w:spacing w:before="100" w:beforeAutospacing="1" w:after="100" w:afterAutospacing="1"/>
        <w:rPr>
          <w:b/>
          <w:bCs/>
        </w:rPr>
      </w:pPr>
      <w:r w:rsidRPr="00CE5E7A">
        <w:rPr>
          <w:b/>
          <w:bCs/>
        </w:rPr>
        <w:t>Eligibility Verification</w:t>
      </w:r>
    </w:p>
    <w:p w14:paraId="5DD2BA02" w14:textId="40093F86" w:rsidR="00952DC6" w:rsidRPr="00FE7DD3" w:rsidRDefault="00CE5E7A" w:rsidP="00EA1501">
      <w:pPr>
        <w:spacing w:before="100" w:beforeAutospacing="1" w:after="100" w:afterAutospacing="1"/>
      </w:pPr>
      <w:r w:rsidRPr="00CE5E7A">
        <w:rPr>
          <w:bCs/>
        </w:rPr>
        <w:t>Candidate will be required to provide official transcripts of their highest degree earned and must furnish proof of eligibility to work in the U.S. California State University, Sacramento is a sponsoring agency (</w:t>
      </w:r>
      <w:proofErr w:type="spellStart"/>
      <w:r w:rsidRPr="00CE5E7A">
        <w:rPr>
          <w:bCs/>
        </w:rPr>
        <w:t>ie</w:t>
      </w:r>
      <w:proofErr w:type="spellEnd"/>
      <w:r w:rsidRPr="00CE5E7A">
        <w:rPr>
          <w:bCs/>
        </w:rPr>
        <w:t>. H-1-B Visa).</w:t>
      </w:r>
    </w:p>
    <w:sectPr w:rsidR="00952DC6" w:rsidRPr="00FE7DD3" w:rsidSect="008D7393">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63202" w14:textId="77777777" w:rsidR="008157F3" w:rsidRDefault="008157F3" w:rsidP="005F2947">
      <w:r>
        <w:separator/>
      </w:r>
    </w:p>
  </w:endnote>
  <w:endnote w:type="continuationSeparator" w:id="0">
    <w:p w14:paraId="5708498A" w14:textId="77777777" w:rsidR="008157F3" w:rsidRDefault="008157F3" w:rsidP="005F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CA473" w14:textId="77777777" w:rsidR="008157F3" w:rsidRDefault="008157F3" w:rsidP="005F2947">
      <w:r>
        <w:separator/>
      </w:r>
    </w:p>
  </w:footnote>
  <w:footnote w:type="continuationSeparator" w:id="0">
    <w:p w14:paraId="0DE02BA2" w14:textId="77777777" w:rsidR="008157F3" w:rsidRDefault="008157F3" w:rsidP="005F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AEE48" w14:textId="3B34158E" w:rsidR="003E7AD8" w:rsidRPr="003E7AD8" w:rsidRDefault="003E7AD8" w:rsidP="003E7AD8">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548B"/>
    <w:multiLevelType w:val="hybridMultilevel"/>
    <w:tmpl w:val="60B4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318E"/>
    <w:multiLevelType w:val="hybridMultilevel"/>
    <w:tmpl w:val="31586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4340A6"/>
    <w:multiLevelType w:val="hybridMultilevel"/>
    <w:tmpl w:val="C7A8E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2220"/>
    <w:multiLevelType w:val="multilevel"/>
    <w:tmpl w:val="CCCC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B3BA7"/>
    <w:multiLevelType w:val="hybridMultilevel"/>
    <w:tmpl w:val="623C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43A90"/>
    <w:multiLevelType w:val="hybridMultilevel"/>
    <w:tmpl w:val="BD2E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35A5A"/>
    <w:multiLevelType w:val="hybridMultilevel"/>
    <w:tmpl w:val="6CD6D970"/>
    <w:lvl w:ilvl="0" w:tplc="51626B28">
      <w:numFmt w:val="bullet"/>
      <w:lvlText w:val="·"/>
      <w:lvlJc w:val="left"/>
      <w:pPr>
        <w:ind w:left="1155" w:hanging="435"/>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47350C"/>
    <w:multiLevelType w:val="hybridMultilevel"/>
    <w:tmpl w:val="87B6CD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825E4E"/>
    <w:multiLevelType w:val="hybridMultilevel"/>
    <w:tmpl w:val="37E24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D0B6F"/>
    <w:multiLevelType w:val="hybridMultilevel"/>
    <w:tmpl w:val="B956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BE3868"/>
    <w:multiLevelType w:val="hybridMultilevel"/>
    <w:tmpl w:val="3C46B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2F637F"/>
    <w:multiLevelType w:val="multilevel"/>
    <w:tmpl w:val="8764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755545"/>
    <w:multiLevelType w:val="hybridMultilevel"/>
    <w:tmpl w:val="0D30459A"/>
    <w:lvl w:ilvl="0" w:tplc="FFFFFFFF">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D786072"/>
    <w:multiLevelType w:val="hybridMultilevel"/>
    <w:tmpl w:val="A5CA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B4335"/>
    <w:multiLevelType w:val="hybridMultilevel"/>
    <w:tmpl w:val="1F7AE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C30DB5"/>
    <w:multiLevelType w:val="hybridMultilevel"/>
    <w:tmpl w:val="F3A231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244B6"/>
    <w:multiLevelType w:val="hybridMultilevel"/>
    <w:tmpl w:val="8FAC4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72BD9"/>
    <w:multiLevelType w:val="hybridMultilevel"/>
    <w:tmpl w:val="218A1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B938D9"/>
    <w:multiLevelType w:val="hybridMultilevel"/>
    <w:tmpl w:val="236AD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AE6418"/>
    <w:multiLevelType w:val="multilevel"/>
    <w:tmpl w:val="4D728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77421E"/>
    <w:multiLevelType w:val="hybridMultilevel"/>
    <w:tmpl w:val="6DDCEF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75508B"/>
    <w:multiLevelType w:val="hybridMultilevel"/>
    <w:tmpl w:val="60AC2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FB288A"/>
    <w:multiLevelType w:val="hybridMultilevel"/>
    <w:tmpl w:val="E2AA4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4F49BA"/>
    <w:multiLevelType w:val="hybridMultilevel"/>
    <w:tmpl w:val="4B824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A3640"/>
    <w:multiLevelType w:val="hybridMultilevel"/>
    <w:tmpl w:val="012EA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43F81"/>
    <w:multiLevelType w:val="hybridMultilevel"/>
    <w:tmpl w:val="283E444C"/>
    <w:lvl w:ilvl="0" w:tplc="824E527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55C6E"/>
    <w:multiLevelType w:val="hybridMultilevel"/>
    <w:tmpl w:val="00589D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B03F48"/>
    <w:multiLevelType w:val="hybridMultilevel"/>
    <w:tmpl w:val="DB5E2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8D3FB3"/>
    <w:multiLevelType w:val="hybridMultilevel"/>
    <w:tmpl w:val="A6AEE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2F5ECA"/>
    <w:multiLevelType w:val="hybridMultilevel"/>
    <w:tmpl w:val="5040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008B7"/>
    <w:multiLevelType w:val="hybridMultilevel"/>
    <w:tmpl w:val="F8AA48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C68B4"/>
    <w:multiLevelType w:val="hybridMultilevel"/>
    <w:tmpl w:val="2768435A"/>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1EE00BF"/>
    <w:multiLevelType w:val="multilevel"/>
    <w:tmpl w:val="AB64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F9057E"/>
    <w:multiLevelType w:val="hybridMultilevel"/>
    <w:tmpl w:val="1AB05BE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6266960"/>
    <w:multiLevelType w:val="hybridMultilevel"/>
    <w:tmpl w:val="CDE4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13E83"/>
    <w:multiLevelType w:val="hybridMultilevel"/>
    <w:tmpl w:val="AAD89A62"/>
    <w:lvl w:ilvl="0" w:tplc="04090017">
      <w:start w:val="1"/>
      <w:numFmt w:val="lowerLetter"/>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A893CD6"/>
    <w:multiLevelType w:val="hybridMultilevel"/>
    <w:tmpl w:val="38B26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6205326">
    <w:abstractNumId w:val="15"/>
  </w:num>
  <w:num w:numId="2" w16cid:durableId="1704213214">
    <w:abstractNumId w:val="16"/>
  </w:num>
  <w:num w:numId="3" w16cid:durableId="1152601638">
    <w:abstractNumId w:val="5"/>
  </w:num>
  <w:num w:numId="4" w16cid:durableId="816728831">
    <w:abstractNumId w:val="2"/>
  </w:num>
  <w:num w:numId="5" w16cid:durableId="1863202524">
    <w:abstractNumId w:val="29"/>
  </w:num>
  <w:num w:numId="6" w16cid:durableId="1647122378">
    <w:abstractNumId w:val="4"/>
  </w:num>
  <w:num w:numId="7" w16cid:durableId="823158304">
    <w:abstractNumId w:val="23"/>
  </w:num>
  <w:num w:numId="8" w16cid:durableId="473984157">
    <w:abstractNumId w:val="20"/>
  </w:num>
  <w:num w:numId="9" w16cid:durableId="2144425921">
    <w:abstractNumId w:val="0"/>
  </w:num>
  <w:num w:numId="10" w16cid:durableId="1968851319">
    <w:abstractNumId w:val="26"/>
  </w:num>
  <w:num w:numId="11" w16cid:durableId="290669446">
    <w:abstractNumId w:val="7"/>
  </w:num>
  <w:num w:numId="12" w16cid:durableId="1224296711">
    <w:abstractNumId w:val="8"/>
  </w:num>
  <w:num w:numId="13" w16cid:durableId="654185897">
    <w:abstractNumId w:val="30"/>
  </w:num>
  <w:num w:numId="14" w16cid:durableId="1327127176">
    <w:abstractNumId w:val="1"/>
  </w:num>
  <w:num w:numId="15" w16cid:durableId="1866288299">
    <w:abstractNumId w:val="18"/>
  </w:num>
  <w:num w:numId="16" w16cid:durableId="643777195">
    <w:abstractNumId w:val="28"/>
  </w:num>
  <w:num w:numId="17" w16cid:durableId="1791195584">
    <w:abstractNumId w:val="25"/>
  </w:num>
  <w:num w:numId="18" w16cid:durableId="350767811">
    <w:abstractNumId w:val="33"/>
  </w:num>
  <w:num w:numId="19" w16cid:durableId="505681198">
    <w:abstractNumId w:val="9"/>
  </w:num>
  <w:num w:numId="20" w16cid:durableId="1662197314">
    <w:abstractNumId w:val="6"/>
  </w:num>
  <w:num w:numId="21" w16cid:durableId="319891995">
    <w:abstractNumId w:val="10"/>
  </w:num>
  <w:num w:numId="22" w16cid:durableId="1504053784">
    <w:abstractNumId w:val="3"/>
  </w:num>
  <w:num w:numId="23" w16cid:durableId="926616481">
    <w:abstractNumId w:val="19"/>
  </w:num>
  <w:num w:numId="24" w16cid:durableId="1655796057">
    <w:abstractNumId w:val="32"/>
  </w:num>
  <w:num w:numId="25" w16cid:durableId="714618246">
    <w:abstractNumId w:val="11"/>
  </w:num>
  <w:num w:numId="26" w16cid:durableId="612060525">
    <w:abstractNumId w:val="14"/>
  </w:num>
  <w:num w:numId="27" w16cid:durableId="1976258348">
    <w:abstractNumId w:val="34"/>
  </w:num>
  <w:num w:numId="28" w16cid:durableId="574440367">
    <w:abstractNumId w:val="17"/>
  </w:num>
  <w:num w:numId="29" w16cid:durableId="888569570">
    <w:abstractNumId w:val="13"/>
  </w:num>
  <w:num w:numId="30" w16cid:durableId="1310134506">
    <w:abstractNumId w:val="36"/>
  </w:num>
  <w:num w:numId="31" w16cid:durableId="729571299">
    <w:abstractNumId w:val="24"/>
  </w:num>
  <w:num w:numId="32" w16cid:durableId="2123842508">
    <w:abstractNumId w:val="31"/>
  </w:num>
  <w:num w:numId="33" w16cid:durableId="1826973456">
    <w:abstractNumId w:val="27"/>
  </w:num>
  <w:num w:numId="34" w16cid:durableId="558252334">
    <w:abstractNumId w:val="22"/>
  </w:num>
  <w:num w:numId="35" w16cid:durableId="2067291156">
    <w:abstractNumId w:val="21"/>
  </w:num>
  <w:num w:numId="36" w16cid:durableId="1380086112">
    <w:abstractNumId w:val="12"/>
  </w:num>
  <w:num w:numId="37" w16cid:durableId="19446038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808"/>
    <w:rsid w:val="0000348E"/>
    <w:rsid w:val="00011C82"/>
    <w:rsid w:val="00025EC7"/>
    <w:rsid w:val="00030161"/>
    <w:rsid w:val="00032731"/>
    <w:rsid w:val="00051EB0"/>
    <w:rsid w:val="00054232"/>
    <w:rsid w:val="00061B00"/>
    <w:rsid w:val="00062A86"/>
    <w:rsid w:val="00071F67"/>
    <w:rsid w:val="000C3619"/>
    <w:rsid w:val="000C503A"/>
    <w:rsid w:val="000C711E"/>
    <w:rsid w:val="000D0D78"/>
    <w:rsid w:val="000D4D3D"/>
    <w:rsid w:val="000E36F5"/>
    <w:rsid w:val="000F1161"/>
    <w:rsid w:val="000F27C1"/>
    <w:rsid w:val="00102069"/>
    <w:rsid w:val="0013733B"/>
    <w:rsid w:val="0014137F"/>
    <w:rsid w:val="00146AB1"/>
    <w:rsid w:val="0014781E"/>
    <w:rsid w:val="001549A6"/>
    <w:rsid w:val="00164566"/>
    <w:rsid w:val="0016558A"/>
    <w:rsid w:val="00171165"/>
    <w:rsid w:val="001748C7"/>
    <w:rsid w:val="00175F48"/>
    <w:rsid w:val="00181F63"/>
    <w:rsid w:val="001C0920"/>
    <w:rsid w:val="001C66E6"/>
    <w:rsid w:val="001D0808"/>
    <w:rsid w:val="00205DA7"/>
    <w:rsid w:val="00215809"/>
    <w:rsid w:val="00215B68"/>
    <w:rsid w:val="0022510D"/>
    <w:rsid w:val="002321CA"/>
    <w:rsid w:val="00284A6C"/>
    <w:rsid w:val="00292884"/>
    <w:rsid w:val="002B0FF9"/>
    <w:rsid w:val="002C12FB"/>
    <w:rsid w:val="002E5646"/>
    <w:rsid w:val="002E72B6"/>
    <w:rsid w:val="002F425B"/>
    <w:rsid w:val="002F69AD"/>
    <w:rsid w:val="00322350"/>
    <w:rsid w:val="00364FF6"/>
    <w:rsid w:val="003677B1"/>
    <w:rsid w:val="003773B2"/>
    <w:rsid w:val="0039634C"/>
    <w:rsid w:val="003A042C"/>
    <w:rsid w:val="003A7506"/>
    <w:rsid w:val="003D4B08"/>
    <w:rsid w:val="003D633C"/>
    <w:rsid w:val="003E6702"/>
    <w:rsid w:val="003E7AD8"/>
    <w:rsid w:val="00421F9B"/>
    <w:rsid w:val="00430F78"/>
    <w:rsid w:val="004404F3"/>
    <w:rsid w:val="004516CA"/>
    <w:rsid w:val="004520FA"/>
    <w:rsid w:val="0047676F"/>
    <w:rsid w:val="004B119E"/>
    <w:rsid w:val="004C1BBB"/>
    <w:rsid w:val="004C638A"/>
    <w:rsid w:val="004D241A"/>
    <w:rsid w:val="004D265D"/>
    <w:rsid w:val="00503CC8"/>
    <w:rsid w:val="00505580"/>
    <w:rsid w:val="005257FE"/>
    <w:rsid w:val="00526AA8"/>
    <w:rsid w:val="00535600"/>
    <w:rsid w:val="005462F1"/>
    <w:rsid w:val="00556EF1"/>
    <w:rsid w:val="00585512"/>
    <w:rsid w:val="00587193"/>
    <w:rsid w:val="005C3C6F"/>
    <w:rsid w:val="005C4230"/>
    <w:rsid w:val="005D2C04"/>
    <w:rsid w:val="005E043E"/>
    <w:rsid w:val="005E4081"/>
    <w:rsid w:val="005F2947"/>
    <w:rsid w:val="005F644F"/>
    <w:rsid w:val="005F6839"/>
    <w:rsid w:val="00602283"/>
    <w:rsid w:val="0061340D"/>
    <w:rsid w:val="00621F6F"/>
    <w:rsid w:val="006278A4"/>
    <w:rsid w:val="00630FE8"/>
    <w:rsid w:val="00631D01"/>
    <w:rsid w:val="00656784"/>
    <w:rsid w:val="00660995"/>
    <w:rsid w:val="00666D08"/>
    <w:rsid w:val="00672889"/>
    <w:rsid w:val="00675924"/>
    <w:rsid w:val="006905D7"/>
    <w:rsid w:val="006A03FE"/>
    <w:rsid w:val="006A0C53"/>
    <w:rsid w:val="006B1DC1"/>
    <w:rsid w:val="006B619F"/>
    <w:rsid w:val="006B7E76"/>
    <w:rsid w:val="006D22B7"/>
    <w:rsid w:val="006D2391"/>
    <w:rsid w:val="006D4891"/>
    <w:rsid w:val="006D5FA6"/>
    <w:rsid w:val="006F23DB"/>
    <w:rsid w:val="006F405A"/>
    <w:rsid w:val="007104F5"/>
    <w:rsid w:val="00713D58"/>
    <w:rsid w:val="007149F3"/>
    <w:rsid w:val="007416FF"/>
    <w:rsid w:val="00747E29"/>
    <w:rsid w:val="00756023"/>
    <w:rsid w:val="00761C82"/>
    <w:rsid w:val="00765457"/>
    <w:rsid w:val="00772E23"/>
    <w:rsid w:val="007D2D12"/>
    <w:rsid w:val="007D55FD"/>
    <w:rsid w:val="007D741D"/>
    <w:rsid w:val="007E4644"/>
    <w:rsid w:val="008017D7"/>
    <w:rsid w:val="00802F3C"/>
    <w:rsid w:val="0080372A"/>
    <w:rsid w:val="00804F77"/>
    <w:rsid w:val="0081149A"/>
    <w:rsid w:val="008157F3"/>
    <w:rsid w:val="00826B47"/>
    <w:rsid w:val="00831C67"/>
    <w:rsid w:val="00833ED4"/>
    <w:rsid w:val="00842274"/>
    <w:rsid w:val="00845C97"/>
    <w:rsid w:val="0084744B"/>
    <w:rsid w:val="008840AA"/>
    <w:rsid w:val="0088607B"/>
    <w:rsid w:val="00887E19"/>
    <w:rsid w:val="00890BF4"/>
    <w:rsid w:val="0089403C"/>
    <w:rsid w:val="00894CA7"/>
    <w:rsid w:val="008B0DD3"/>
    <w:rsid w:val="008D7393"/>
    <w:rsid w:val="008E3D68"/>
    <w:rsid w:val="008F232B"/>
    <w:rsid w:val="00902431"/>
    <w:rsid w:val="009038E1"/>
    <w:rsid w:val="00907651"/>
    <w:rsid w:val="00914CF0"/>
    <w:rsid w:val="00915B18"/>
    <w:rsid w:val="009361A8"/>
    <w:rsid w:val="009459D2"/>
    <w:rsid w:val="00952DC6"/>
    <w:rsid w:val="00964EB3"/>
    <w:rsid w:val="00965BBA"/>
    <w:rsid w:val="00974355"/>
    <w:rsid w:val="00981A43"/>
    <w:rsid w:val="009B2D4F"/>
    <w:rsid w:val="009B61CD"/>
    <w:rsid w:val="009C2483"/>
    <w:rsid w:val="009C3AB4"/>
    <w:rsid w:val="009C57AA"/>
    <w:rsid w:val="009C58CD"/>
    <w:rsid w:val="009F5919"/>
    <w:rsid w:val="00A04F51"/>
    <w:rsid w:val="00A12D36"/>
    <w:rsid w:val="00A136A6"/>
    <w:rsid w:val="00A42F5C"/>
    <w:rsid w:val="00A62BF5"/>
    <w:rsid w:val="00A770DD"/>
    <w:rsid w:val="00A80215"/>
    <w:rsid w:val="00A818F9"/>
    <w:rsid w:val="00AB7884"/>
    <w:rsid w:val="00AC1828"/>
    <w:rsid w:val="00AC466A"/>
    <w:rsid w:val="00AC4ADD"/>
    <w:rsid w:val="00AD28C8"/>
    <w:rsid w:val="00AD66E8"/>
    <w:rsid w:val="00AF50F0"/>
    <w:rsid w:val="00B038E6"/>
    <w:rsid w:val="00B06418"/>
    <w:rsid w:val="00B26D5B"/>
    <w:rsid w:val="00B30BBE"/>
    <w:rsid w:val="00B966E8"/>
    <w:rsid w:val="00B97C63"/>
    <w:rsid w:val="00BA54D8"/>
    <w:rsid w:val="00BC7995"/>
    <w:rsid w:val="00BD0997"/>
    <w:rsid w:val="00BF641C"/>
    <w:rsid w:val="00C0737C"/>
    <w:rsid w:val="00C3025A"/>
    <w:rsid w:val="00C36D4A"/>
    <w:rsid w:val="00C4757D"/>
    <w:rsid w:val="00C52C10"/>
    <w:rsid w:val="00C567F5"/>
    <w:rsid w:val="00C852FE"/>
    <w:rsid w:val="00C86BED"/>
    <w:rsid w:val="00C90140"/>
    <w:rsid w:val="00CE5E7A"/>
    <w:rsid w:val="00D10C03"/>
    <w:rsid w:val="00D27EF4"/>
    <w:rsid w:val="00D53105"/>
    <w:rsid w:val="00D54296"/>
    <w:rsid w:val="00D57728"/>
    <w:rsid w:val="00D7125A"/>
    <w:rsid w:val="00D807CC"/>
    <w:rsid w:val="00D8392B"/>
    <w:rsid w:val="00D95BB5"/>
    <w:rsid w:val="00DA60C8"/>
    <w:rsid w:val="00DB1C77"/>
    <w:rsid w:val="00DB7BED"/>
    <w:rsid w:val="00DC18BA"/>
    <w:rsid w:val="00DC4ACC"/>
    <w:rsid w:val="00DD3062"/>
    <w:rsid w:val="00DD7E39"/>
    <w:rsid w:val="00DF2DDC"/>
    <w:rsid w:val="00DF316D"/>
    <w:rsid w:val="00DF5897"/>
    <w:rsid w:val="00E216B6"/>
    <w:rsid w:val="00E5522B"/>
    <w:rsid w:val="00E57083"/>
    <w:rsid w:val="00E64665"/>
    <w:rsid w:val="00E65AE8"/>
    <w:rsid w:val="00E80407"/>
    <w:rsid w:val="00E911FB"/>
    <w:rsid w:val="00E973FD"/>
    <w:rsid w:val="00EA1501"/>
    <w:rsid w:val="00EA240D"/>
    <w:rsid w:val="00EA4669"/>
    <w:rsid w:val="00EA4899"/>
    <w:rsid w:val="00EC4D9F"/>
    <w:rsid w:val="00EE23C1"/>
    <w:rsid w:val="00EE4AE0"/>
    <w:rsid w:val="00EE7CAD"/>
    <w:rsid w:val="00F06C46"/>
    <w:rsid w:val="00F20E90"/>
    <w:rsid w:val="00F21F77"/>
    <w:rsid w:val="00F2411D"/>
    <w:rsid w:val="00F24712"/>
    <w:rsid w:val="00F31AFF"/>
    <w:rsid w:val="00F361BA"/>
    <w:rsid w:val="00F52A76"/>
    <w:rsid w:val="00F54375"/>
    <w:rsid w:val="00F571DE"/>
    <w:rsid w:val="00F622ED"/>
    <w:rsid w:val="00F65370"/>
    <w:rsid w:val="00F6704F"/>
    <w:rsid w:val="00F75BCA"/>
    <w:rsid w:val="00F95825"/>
    <w:rsid w:val="00FA3B6A"/>
    <w:rsid w:val="00FB099E"/>
    <w:rsid w:val="00FB2E62"/>
    <w:rsid w:val="00FB70D0"/>
    <w:rsid w:val="00FC46FB"/>
    <w:rsid w:val="00FC6FCD"/>
    <w:rsid w:val="00FD2892"/>
    <w:rsid w:val="00FE31A2"/>
    <w:rsid w:val="00FE7DD3"/>
    <w:rsid w:val="00FF7933"/>
    <w:rsid w:val="790A0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116D0"/>
  <w15:docId w15:val="{557B2781-E4B9-4A99-AEA4-16A884F1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0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C10"/>
    <w:pPr>
      <w:ind w:left="720"/>
      <w:contextualSpacing/>
    </w:pPr>
  </w:style>
  <w:style w:type="character" w:customStyle="1" w:styleId="pslongeditbox1">
    <w:name w:val="pslongeditbox1"/>
    <w:basedOn w:val="DefaultParagraphFont"/>
    <w:rsid w:val="007D55FD"/>
    <w:rPr>
      <w:rFonts w:ascii="Arial" w:hAnsi="Arial" w:cs="Arial" w:hint="default"/>
      <w:b w:val="0"/>
      <w:bCs w:val="0"/>
      <w:i w:val="0"/>
      <w:iCs w:val="0"/>
      <w:color w:val="515151"/>
      <w:sz w:val="18"/>
      <w:szCs w:val="18"/>
    </w:rPr>
  </w:style>
  <w:style w:type="character" w:styleId="Hyperlink">
    <w:name w:val="Hyperlink"/>
    <w:basedOn w:val="DefaultParagraphFont"/>
    <w:uiPriority w:val="99"/>
    <w:unhideWhenUsed/>
    <w:rsid w:val="009C2483"/>
    <w:rPr>
      <w:color w:val="0000FF" w:themeColor="hyperlink"/>
      <w:u w:val="single"/>
    </w:rPr>
  </w:style>
  <w:style w:type="paragraph" w:styleId="Header">
    <w:name w:val="header"/>
    <w:basedOn w:val="Normal"/>
    <w:link w:val="HeaderChar"/>
    <w:unhideWhenUsed/>
    <w:rsid w:val="005F2947"/>
    <w:pPr>
      <w:tabs>
        <w:tab w:val="center" w:pos="4680"/>
        <w:tab w:val="right" w:pos="9360"/>
      </w:tabs>
    </w:pPr>
  </w:style>
  <w:style w:type="character" w:customStyle="1" w:styleId="HeaderChar">
    <w:name w:val="Header Char"/>
    <w:basedOn w:val="DefaultParagraphFont"/>
    <w:link w:val="Header"/>
    <w:rsid w:val="005F2947"/>
    <w:rPr>
      <w:sz w:val="24"/>
      <w:szCs w:val="24"/>
    </w:rPr>
  </w:style>
  <w:style w:type="paragraph" w:styleId="Footer">
    <w:name w:val="footer"/>
    <w:basedOn w:val="Normal"/>
    <w:link w:val="FooterChar"/>
    <w:unhideWhenUsed/>
    <w:rsid w:val="005F2947"/>
    <w:pPr>
      <w:tabs>
        <w:tab w:val="center" w:pos="4680"/>
        <w:tab w:val="right" w:pos="9360"/>
      </w:tabs>
    </w:pPr>
  </w:style>
  <w:style w:type="character" w:customStyle="1" w:styleId="FooterChar">
    <w:name w:val="Footer Char"/>
    <w:basedOn w:val="DefaultParagraphFont"/>
    <w:link w:val="Footer"/>
    <w:rsid w:val="005F2947"/>
    <w:rPr>
      <w:sz w:val="24"/>
      <w:szCs w:val="24"/>
    </w:rPr>
  </w:style>
  <w:style w:type="character" w:styleId="UnresolvedMention">
    <w:name w:val="Unresolved Mention"/>
    <w:basedOn w:val="DefaultParagraphFont"/>
    <w:uiPriority w:val="99"/>
    <w:semiHidden/>
    <w:unhideWhenUsed/>
    <w:rsid w:val="00842274"/>
    <w:rPr>
      <w:color w:val="605E5C"/>
      <w:shd w:val="clear" w:color="auto" w:fill="E1DFDD"/>
    </w:rPr>
  </w:style>
  <w:style w:type="character" w:styleId="CommentReference">
    <w:name w:val="annotation reference"/>
    <w:basedOn w:val="DefaultParagraphFont"/>
    <w:semiHidden/>
    <w:unhideWhenUsed/>
    <w:rsid w:val="00842274"/>
    <w:rPr>
      <w:sz w:val="16"/>
      <w:szCs w:val="16"/>
    </w:rPr>
  </w:style>
  <w:style w:type="paragraph" w:styleId="CommentText">
    <w:name w:val="annotation text"/>
    <w:basedOn w:val="Normal"/>
    <w:link w:val="CommentTextChar"/>
    <w:semiHidden/>
    <w:unhideWhenUsed/>
    <w:rsid w:val="00842274"/>
    <w:rPr>
      <w:sz w:val="20"/>
      <w:szCs w:val="20"/>
    </w:rPr>
  </w:style>
  <w:style w:type="character" w:customStyle="1" w:styleId="CommentTextChar">
    <w:name w:val="Comment Text Char"/>
    <w:basedOn w:val="DefaultParagraphFont"/>
    <w:link w:val="CommentText"/>
    <w:semiHidden/>
    <w:rsid w:val="00842274"/>
  </w:style>
  <w:style w:type="paragraph" w:styleId="CommentSubject">
    <w:name w:val="annotation subject"/>
    <w:basedOn w:val="CommentText"/>
    <w:next w:val="CommentText"/>
    <w:link w:val="CommentSubjectChar"/>
    <w:semiHidden/>
    <w:unhideWhenUsed/>
    <w:rsid w:val="00842274"/>
    <w:rPr>
      <w:b/>
      <w:bCs/>
    </w:rPr>
  </w:style>
  <w:style w:type="character" w:customStyle="1" w:styleId="CommentSubjectChar">
    <w:name w:val="Comment Subject Char"/>
    <w:basedOn w:val="CommentTextChar"/>
    <w:link w:val="CommentSubject"/>
    <w:semiHidden/>
    <w:rsid w:val="00842274"/>
    <w:rPr>
      <w:b/>
      <w:bCs/>
    </w:rPr>
  </w:style>
  <w:style w:type="paragraph" w:styleId="BalloonText">
    <w:name w:val="Balloon Text"/>
    <w:basedOn w:val="Normal"/>
    <w:link w:val="BalloonTextChar"/>
    <w:semiHidden/>
    <w:unhideWhenUsed/>
    <w:rsid w:val="00842274"/>
    <w:rPr>
      <w:rFonts w:ascii="Segoe UI" w:hAnsi="Segoe UI" w:cs="Segoe UI"/>
      <w:sz w:val="18"/>
      <w:szCs w:val="18"/>
    </w:rPr>
  </w:style>
  <w:style w:type="character" w:customStyle="1" w:styleId="BalloonTextChar">
    <w:name w:val="Balloon Text Char"/>
    <w:basedOn w:val="DefaultParagraphFont"/>
    <w:link w:val="BalloonText"/>
    <w:semiHidden/>
    <w:rsid w:val="00842274"/>
    <w:rPr>
      <w:rFonts w:ascii="Segoe UI" w:hAnsi="Segoe UI" w:cs="Segoe UI"/>
      <w:sz w:val="18"/>
      <w:szCs w:val="18"/>
    </w:rPr>
  </w:style>
  <w:style w:type="character" w:styleId="FollowedHyperlink">
    <w:name w:val="FollowedHyperlink"/>
    <w:basedOn w:val="DefaultParagraphFont"/>
    <w:semiHidden/>
    <w:unhideWhenUsed/>
    <w:rsid w:val="00D807CC"/>
    <w:rPr>
      <w:color w:val="800080" w:themeColor="followedHyperlink"/>
      <w:u w:val="single"/>
    </w:rPr>
  </w:style>
  <w:style w:type="character" w:customStyle="1" w:styleId="ui-provider">
    <w:name w:val="ui-provider"/>
    <w:basedOn w:val="DefaultParagraphFont"/>
    <w:rsid w:val="00025EC7"/>
  </w:style>
  <w:style w:type="character" w:customStyle="1" w:styleId="contentpasted1">
    <w:name w:val="contentpasted1"/>
    <w:basedOn w:val="DefaultParagraphFont"/>
    <w:rsid w:val="0088607B"/>
  </w:style>
  <w:style w:type="character" w:customStyle="1" w:styleId="contentpasted0">
    <w:name w:val="contentpasted0"/>
    <w:basedOn w:val="DefaultParagraphFont"/>
    <w:rsid w:val="0088607B"/>
  </w:style>
  <w:style w:type="paragraph" w:styleId="NormalWeb">
    <w:name w:val="Normal (Web)"/>
    <w:basedOn w:val="Normal"/>
    <w:uiPriority w:val="99"/>
    <w:semiHidden/>
    <w:unhideWhenUsed/>
    <w:rsid w:val="00AC1828"/>
    <w:pPr>
      <w:spacing w:before="100" w:beforeAutospacing="1" w:after="100" w:afterAutospacing="1"/>
    </w:pPr>
  </w:style>
  <w:style w:type="character" w:styleId="Strong">
    <w:name w:val="Strong"/>
    <w:basedOn w:val="DefaultParagraphFont"/>
    <w:uiPriority w:val="22"/>
    <w:qFormat/>
    <w:rsid w:val="00AC1828"/>
    <w:rPr>
      <w:b/>
      <w:bCs/>
    </w:rPr>
  </w:style>
  <w:style w:type="paragraph" w:customStyle="1" w:styleId="xmsolistparagraph">
    <w:name w:val="x_msolistparagraph"/>
    <w:basedOn w:val="Normal"/>
    <w:rsid w:val="0016558A"/>
    <w:pPr>
      <w:ind w:left="720"/>
    </w:pPr>
    <w:rPr>
      <w:rFonts w:ascii="Calibri" w:eastAsiaTheme="minorHAnsi" w:hAnsi="Calibri" w:cs="Calibri"/>
      <w:sz w:val="22"/>
      <w:szCs w:val="22"/>
    </w:rPr>
  </w:style>
  <w:style w:type="paragraph" w:customStyle="1" w:styleId="paragraph">
    <w:name w:val="paragraph"/>
    <w:basedOn w:val="Normal"/>
    <w:rsid w:val="00AC4ADD"/>
    <w:pPr>
      <w:spacing w:before="100" w:beforeAutospacing="1" w:after="100" w:afterAutospacing="1"/>
    </w:pPr>
  </w:style>
  <w:style w:type="character" w:customStyle="1" w:styleId="normaltextrun">
    <w:name w:val="normaltextrun"/>
    <w:basedOn w:val="DefaultParagraphFont"/>
    <w:rsid w:val="00AC4ADD"/>
  </w:style>
  <w:style w:type="character" w:customStyle="1" w:styleId="eop">
    <w:name w:val="eop"/>
    <w:basedOn w:val="DefaultParagraphFont"/>
    <w:rsid w:val="00AC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567">
      <w:bodyDiv w:val="1"/>
      <w:marLeft w:val="0"/>
      <w:marRight w:val="0"/>
      <w:marTop w:val="0"/>
      <w:marBottom w:val="0"/>
      <w:divBdr>
        <w:top w:val="none" w:sz="0" w:space="0" w:color="auto"/>
        <w:left w:val="none" w:sz="0" w:space="0" w:color="auto"/>
        <w:bottom w:val="none" w:sz="0" w:space="0" w:color="auto"/>
        <w:right w:val="none" w:sz="0" w:space="0" w:color="auto"/>
      </w:divBdr>
    </w:div>
    <w:div w:id="192422884">
      <w:bodyDiv w:val="1"/>
      <w:marLeft w:val="0"/>
      <w:marRight w:val="0"/>
      <w:marTop w:val="0"/>
      <w:marBottom w:val="0"/>
      <w:divBdr>
        <w:top w:val="none" w:sz="0" w:space="0" w:color="auto"/>
        <w:left w:val="none" w:sz="0" w:space="0" w:color="auto"/>
        <w:bottom w:val="none" w:sz="0" w:space="0" w:color="auto"/>
        <w:right w:val="none" w:sz="0" w:space="0" w:color="auto"/>
      </w:divBdr>
      <w:divsChild>
        <w:div w:id="44376734">
          <w:marLeft w:val="0"/>
          <w:marRight w:val="0"/>
          <w:marTop w:val="0"/>
          <w:marBottom w:val="0"/>
          <w:divBdr>
            <w:top w:val="none" w:sz="0" w:space="0" w:color="auto"/>
            <w:left w:val="none" w:sz="0" w:space="0" w:color="auto"/>
            <w:bottom w:val="none" w:sz="0" w:space="0" w:color="auto"/>
            <w:right w:val="none" w:sz="0" w:space="0" w:color="auto"/>
          </w:divBdr>
        </w:div>
      </w:divsChild>
    </w:div>
    <w:div w:id="193271057">
      <w:bodyDiv w:val="1"/>
      <w:marLeft w:val="0"/>
      <w:marRight w:val="0"/>
      <w:marTop w:val="0"/>
      <w:marBottom w:val="0"/>
      <w:divBdr>
        <w:top w:val="none" w:sz="0" w:space="0" w:color="auto"/>
        <w:left w:val="none" w:sz="0" w:space="0" w:color="auto"/>
        <w:bottom w:val="none" w:sz="0" w:space="0" w:color="auto"/>
        <w:right w:val="none" w:sz="0" w:space="0" w:color="auto"/>
      </w:divBdr>
      <w:divsChild>
        <w:div w:id="800882540">
          <w:marLeft w:val="0"/>
          <w:marRight w:val="0"/>
          <w:marTop w:val="0"/>
          <w:marBottom w:val="0"/>
          <w:divBdr>
            <w:top w:val="none" w:sz="0" w:space="0" w:color="auto"/>
            <w:left w:val="none" w:sz="0" w:space="0" w:color="auto"/>
            <w:bottom w:val="none" w:sz="0" w:space="0" w:color="auto"/>
            <w:right w:val="none" w:sz="0" w:space="0" w:color="auto"/>
          </w:divBdr>
        </w:div>
      </w:divsChild>
    </w:div>
    <w:div w:id="221333680">
      <w:bodyDiv w:val="1"/>
      <w:marLeft w:val="0"/>
      <w:marRight w:val="0"/>
      <w:marTop w:val="0"/>
      <w:marBottom w:val="0"/>
      <w:divBdr>
        <w:top w:val="none" w:sz="0" w:space="0" w:color="auto"/>
        <w:left w:val="none" w:sz="0" w:space="0" w:color="auto"/>
        <w:bottom w:val="none" w:sz="0" w:space="0" w:color="auto"/>
        <w:right w:val="none" w:sz="0" w:space="0" w:color="auto"/>
      </w:divBdr>
    </w:div>
    <w:div w:id="813257115">
      <w:bodyDiv w:val="1"/>
      <w:marLeft w:val="0"/>
      <w:marRight w:val="0"/>
      <w:marTop w:val="0"/>
      <w:marBottom w:val="0"/>
      <w:divBdr>
        <w:top w:val="none" w:sz="0" w:space="0" w:color="auto"/>
        <w:left w:val="none" w:sz="0" w:space="0" w:color="auto"/>
        <w:bottom w:val="none" w:sz="0" w:space="0" w:color="auto"/>
        <w:right w:val="none" w:sz="0" w:space="0" w:color="auto"/>
      </w:divBdr>
    </w:div>
    <w:div w:id="894895833">
      <w:bodyDiv w:val="1"/>
      <w:marLeft w:val="0"/>
      <w:marRight w:val="0"/>
      <w:marTop w:val="0"/>
      <w:marBottom w:val="0"/>
      <w:divBdr>
        <w:top w:val="none" w:sz="0" w:space="0" w:color="auto"/>
        <w:left w:val="none" w:sz="0" w:space="0" w:color="auto"/>
        <w:bottom w:val="none" w:sz="0" w:space="0" w:color="auto"/>
        <w:right w:val="none" w:sz="0" w:space="0" w:color="auto"/>
      </w:divBdr>
    </w:div>
    <w:div w:id="1273392512">
      <w:bodyDiv w:val="1"/>
      <w:marLeft w:val="0"/>
      <w:marRight w:val="0"/>
      <w:marTop w:val="0"/>
      <w:marBottom w:val="0"/>
      <w:divBdr>
        <w:top w:val="none" w:sz="0" w:space="0" w:color="auto"/>
        <w:left w:val="none" w:sz="0" w:space="0" w:color="auto"/>
        <w:bottom w:val="none" w:sz="0" w:space="0" w:color="auto"/>
        <w:right w:val="none" w:sz="0" w:space="0" w:color="auto"/>
      </w:divBdr>
    </w:div>
    <w:div w:id="1333797553">
      <w:bodyDiv w:val="1"/>
      <w:marLeft w:val="0"/>
      <w:marRight w:val="0"/>
      <w:marTop w:val="0"/>
      <w:marBottom w:val="0"/>
      <w:divBdr>
        <w:top w:val="none" w:sz="0" w:space="0" w:color="auto"/>
        <w:left w:val="none" w:sz="0" w:space="0" w:color="auto"/>
        <w:bottom w:val="none" w:sz="0" w:space="0" w:color="auto"/>
        <w:right w:val="none" w:sz="0" w:space="0" w:color="auto"/>
      </w:divBdr>
    </w:div>
    <w:div w:id="1620523674">
      <w:bodyDiv w:val="1"/>
      <w:marLeft w:val="0"/>
      <w:marRight w:val="0"/>
      <w:marTop w:val="0"/>
      <w:marBottom w:val="0"/>
      <w:divBdr>
        <w:top w:val="none" w:sz="0" w:space="0" w:color="auto"/>
        <w:left w:val="none" w:sz="0" w:space="0" w:color="auto"/>
        <w:bottom w:val="none" w:sz="0" w:space="0" w:color="auto"/>
        <w:right w:val="none" w:sz="0" w:space="0" w:color="auto"/>
      </w:divBdr>
    </w:div>
    <w:div w:id="1634796206">
      <w:bodyDiv w:val="1"/>
      <w:marLeft w:val="0"/>
      <w:marRight w:val="0"/>
      <w:marTop w:val="0"/>
      <w:marBottom w:val="0"/>
      <w:divBdr>
        <w:top w:val="none" w:sz="0" w:space="0" w:color="auto"/>
        <w:left w:val="none" w:sz="0" w:space="0" w:color="auto"/>
        <w:bottom w:val="none" w:sz="0" w:space="0" w:color="auto"/>
        <w:right w:val="none" w:sz="0" w:space="0" w:color="auto"/>
      </w:divBdr>
    </w:div>
    <w:div w:id="1921406668">
      <w:bodyDiv w:val="1"/>
      <w:marLeft w:val="0"/>
      <w:marRight w:val="0"/>
      <w:marTop w:val="0"/>
      <w:marBottom w:val="0"/>
      <w:divBdr>
        <w:top w:val="none" w:sz="0" w:space="0" w:color="auto"/>
        <w:left w:val="none" w:sz="0" w:space="0" w:color="auto"/>
        <w:bottom w:val="none" w:sz="0" w:space="0" w:color="auto"/>
        <w:right w:val="none" w:sz="0" w:space="0" w:color="auto"/>
      </w:divBdr>
      <w:divsChild>
        <w:div w:id="1876237844">
          <w:marLeft w:val="0"/>
          <w:marRight w:val="0"/>
          <w:marTop w:val="0"/>
          <w:marBottom w:val="0"/>
          <w:divBdr>
            <w:top w:val="none" w:sz="0" w:space="0" w:color="auto"/>
            <w:left w:val="none" w:sz="0" w:space="0" w:color="auto"/>
            <w:bottom w:val="none" w:sz="0" w:space="0" w:color="auto"/>
            <w:right w:val="none" w:sz="0" w:space="0" w:color="auto"/>
          </w:divBdr>
        </w:div>
      </w:divsChild>
    </w:div>
    <w:div w:id="20955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edu/president/mission-imperatives/" TargetMode="External"/><Relationship Id="rId13" Type="http://schemas.openxmlformats.org/officeDocument/2006/relationships/hyperlink" Target="https://www.csus.edu/president/mission-imperatives/resource-development-sustainability/" TargetMode="External"/><Relationship Id="rId18" Type="http://schemas.openxmlformats.org/officeDocument/2006/relationships/hyperlink" Target="https://www.csus.edu/administration-business-affairs/human-resources/benefits/reasonable-accomodation.html" TargetMode="External"/><Relationship Id="rId3" Type="http://schemas.openxmlformats.org/officeDocument/2006/relationships/settings" Target="settings.xml"/><Relationship Id="rId21" Type="http://schemas.openxmlformats.org/officeDocument/2006/relationships/hyperlink" Target="https://calstate.policystat.com/policy/11030468/latest/" TargetMode="External"/><Relationship Id="rId7" Type="http://schemas.openxmlformats.org/officeDocument/2006/relationships/image" Target="media/image1.png"/><Relationship Id="rId12" Type="http://schemas.openxmlformats.org/officeDocument/2006/relationships/hyperlink" Target="https://www.csus.edu/president/mission-imperatives/justice-diversity-equity-inclusion-belonging/" TargetMode="External"/><Relationship Id="rId17" Type="http://schemas.openxmlformats.org/officeDocument/2006/relationships/hyperlink" Target="https://www.csus.edu/academic-affairs/faculty-advancement/why-sac-state.html" TargetMode="External"/><Relationship Id="rId2" Type="http://schemas.openxmlformats.org/officeDocument/2006/relationships/styles" Target="styles.xml"/><Relationship Id="rId16" Type="http://schemas.openxmlformats.org/officeDocument/2006/relationships/hyperlink" Target="https://www.csus.edu/student-affairs/_internal/_documents/hornet-honor-code.pdf" TargetMode="External"/><Relationship Id="rId20" Type="http://schemas.openxmlformats.org/officeDocument/2006/relationships/hyperlink" Target="https://www.csus.edu/cle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president/mission-imperatives/teaching-scholarship-creative-activit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sus.edu/president/mission-imperatives/wellness/" TargetMode="External"/><Relationship Id="rId23" Type="http://schemas.openxmlformats.org/officeDocument/2006/relationships/fontTable" Target="fontTable.xml"/><Relationship Id="rId10" Type="http://schemas.openxmlformats.org/officeDocument/2006/relationships/hyperlink" Target="https://www.csus.edu/president/mission-imperatives/learning-success/" TargetMode="External"/><Relationship Id="rId19" Type="http://schemas.openxmlformats.org/officeDocument/2006/relationships/hyperlink" Target="https://www.csus.edu/administration-business-affairs/human-resources/learning-development/csu-learn.html" TargetMode="External"/><Relationship Id="rId4" Type="http://schemas.openxmlformats.org/officeDocument/2006/relationships/webSettings" Target="webSettings.xml"/><Relationship Id="rId9" Type="http://schemas.openxmlformats.org/officeDocument/2006/relationships/hyperlink" Target="http://www.csus.edu/" TargetMode="External"/><Relationship Id="rId14" Type="http://schemas.openxmlformats.org/officeDocument/2006/relationships/hyperlink" Target="https://www.csus.edu/president/mission-imperatives/community-involvemen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porterk</dc:creator>
  <cp:lastModifiedBy>Abshire, Suzy</cp:lastModifiedBy>
  <cp:revision>4</cp:revision>
  <cp:lastPrinted>2024-10-23T16:32:00Z</cp:lastPrinted>
  <dcterms:created xsi:type="dcterms:W3CDTF">2024-10-31T22:50:00Z</dcterms:created>
  <dcterms:modified xsi:type="dcterms:W3CDTF">2024-11-08T01:12:00Z</dcterms:modified>
</cp:coreProperties>
</file>