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3A6DD9B4" w:rsidR="002906DE" w:rsidRPr="00D647F3" w:rsidRDefault="005F4AFE"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38069F">
                      <w:rPr>
                        <w:rFonts w:cstheme="minorHAnsi"/>
                      </w:rPr>
                      <w:t>9/5/2024</w:t>
                    </w:r>
                  </w:sdtContent>
                </w:sdt>
              </w:sdtContent>
            </w:sdt>
          </w:p>
        </w:tc>
        <w:tc>
          <w:tcPr>
            <w:tcW w:w="2520" w:type="dxa"/>
          </w:tcPr>
          <w:p w14:paraId="44FDF861" w14:textId="149159C9" w:rsidR="002906DE" w:rsidRPr="00D647F3" w:rsidRDefault="005F4AFE"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PLTUTR</w:t>
                </w:r>
              </w:sdtContent>
            </w:sdt>
          </w:p>
        </w:tc>
        <w:tc>
          <w:tcPr>
            <w:tcW w:w="4230" w:type="dxa"/>
          </w:tcPr>
          <w:p w14:paraId="5E2E7143" w14:textId="541F20E0" w:rsidR="002906DE" w:rsidRPr="00D647F3" w:rsidRDefault="005F4AFE"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-time Academic Professional Tutor</w:t>
                </w:r>
                <w:r w:rsidR="001D656B">
                  <w:rPr>
                    <w:rFonts w:cstheme="minorHAnsi"/>
                  </w:rPr>
                  <w:t>_Computer Information Technology</w:t>
                </w:r>
              </w:sdtContent>
            </w:sdt>
          </w:p>
        </w:tc>
        <w:tc>
          <w:tcPr>
            <w:tcW w:w="2250" w:type="dxa"/>
          </w:tcPr>
          <w:p w14:paraId="36BBF0E1" w14:textId="794250A7" w:rsidR="002906DE" w:rsidRPr="00D647F3" w:rsidRDefault="005F4AFE" w:rsidP="00857C40">
            <w:pPr>
              <w:rPr>
                <w:rFonts w:cs="Calibri"/>
              </w:rPr>
            </w:pPr>
            <w:sdt>
              <w:sdtPr>
                <w:rPr>
                  <w:rFonts w:cstheme="minorHAnsi"/>
                </w:rPr>
                <w:tag w:val="Position Title"/>
                <w:id w:val="253257422"/>
                <w:placeholder>
                  <w:docPart w:val="B3624ECAB4E44F04B1416BB21A1695F7"/>
                </w:placeholder>
              </w:sdtPr>
              <w:sdtEndPr/>
              <w:sdtContent>
                <w:r w:rsidR="00B80FAD" w:rsidRPr="004F438B">
                  <w:rPr>
                    <w:rFonts w:cstheme="minorHAnsi"/>
                  </w:rPr>
                  <w:t>FA9598</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5F4AFE"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5F4AFE"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5F4AFE"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Hrs/Week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5F4AFE"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5F4AFE"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on campus Fall, Spring, and Summer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5F4AFE"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Summer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Professional Activities</w:t>
            </w:r>
            <w:r w:rsidR="000C6214">
              <w:rPr>
                <w:b/>
              </w:rPr>
              <w:t xml:space="preserve"> </w:t>
            </w:r>
            <w:r w:rsidR="001B41FE" w:rsidRPr="007A0A17">
              <w:rPr>
                <w:b/>
              </w:rPr>
              <w:t xml:space="preserve"> –</w:t>
            </w:r>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Webex,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 xml:space="preserve">software, Email, and internet (e.g.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1375E724"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5F4AFE">
                  <w:t>Computer Information Technology 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5F4AF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5F4AFE"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5F4AFE"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5F4AFE"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5F4AFE"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5F4AFE"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5F4AFE"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5F4AFE"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5F4AFE"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5F4AFE"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5F4AFE"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5F4AFE"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5F4AFE"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5F4AFE"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5F4AFE"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5F4AFE"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5F4AFE"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5F4AFE"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5F4AFE"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5F4AFE"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5F4AFE"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5F4AFE"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5F4AFE"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(3 dimensional vision, judge distances, space)</w:t>
      </w:r>
    </w:p>
    <w:p w14:paraId="5D4258FA" w14:textId="4B62F51F" w:rsidR="00FA22E0" w:rsidRDefault="005F4AFE"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5F4AFE"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5F4AFE"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5F4AFE"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5F4AFE"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5F4AFE"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5F4AFE"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5F4AFE"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5F4AFE"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5F4AFE"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5F4AFE"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5F4AFE"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5F4AFE"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1EDE13A1" w14:textId="77777777" w:rsidR="00DB0004" w:rsidRDefault="005F4AFE"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lbs of force to lift, carry, push, pull, move objects; walk/stand occasionally)</w:t>
      </w:r>
    </w:p>
    <w:p w14:paraId="48A3DA49" w14:textId="21C63814" w:rsidR="00FA22E0" w:rsidRDefault="005F4AFE"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lbs of force, walk/stand frequently)</w:t>
      </w:r>
    </w:p>
    <w:p w14:paraId="50F9F158" w14:textId="77777777" w:rsidR="00FA22E0" w:rsidRDefault="005F4AFE"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1FAC9A1B" w14:textId="77777777" w:rsidR="00FA22E0" w:rsidRDefault="005F4AFE"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5F4AFE"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5F4AFE"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5F4AFE"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5F4AFE"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5F4AFE"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5F4AFE"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5F4AFE"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1316C765"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1D656B">
      <w:rPr>
        <w:noProof/>
        <w:sz w:val="22"/>
        <w:szCs w:val="22"/>
      </w:rPr>
      <w:t>9/5/2024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56B"/>
    <w:rsid w:val="001D6E9C"/>
    <w:rsid w:val="001E28BC"/>
    <w:rsid w:val="001F2EF4"/>
    <w:rsid w:val="0020339A"/>
    <w:rsid w:val="00207C24"/>
    <w:rsid w:val="00232055"/>
    <w:rsid w:val="002508A6"/>
    <w:rsid w:val="002906DE"/>
    <w:rsid w:val="002B1C61"/>
    <w:rsid w:val="002E5987"/>
    <w:rsid w:val="002F28F5"/>
    <w:rsid w:val="002F392C"/>
    <w:rsid w:val="002F5794"/>
    <w:rsid w:val="002F76CB"/>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5F4AFE"/>
    <w:rsid w:val="00612194"/>
    <w:rsid w:val="006125B1"/>
    <w:rsid w:val="0061357F"/>
    <w:rsid w:val="0061659B"/>
    <w:rsid w:val="00636630"/>
    <w:rsid w:val="0065320F"/>
    <w:rsid w:val="0065755C"/>
    <w:rsid w:val="0067043F"/>
    <w:rsid w:val="0067408A"/>
    <w:rsid w:val="00683268"/>
    <w:rsid w:val="00692632"/>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3</cp:revision>
  <cp:lastPrinted>2023-05-30T20:27:00Z</cp:lastPrinted>
  <dcterms:created xsi:type="dcterms:W3CDTF">2024-09-05T15:42:00Z</dcterms:created>
  <dcterms:modified xsi:type="dcterms:W3CDTF">2024-09-05T15:42:00Z</dcterms:modified>
</cp:coreProperties>
</file>